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Smlouva o poskytování výsledků výzkumu NetMonitor</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uzavřená dle § 1746, odst. 2 ve spojení s ust. § 2631 a násl. zákona č. 89/2012 Sb., občanského zákoníku, ve znění pozdějších předpisů (dále jen "</w:t>
      </w:r>
      <w:r w:rsidDel="00000000" w:rsidR="00000000" w:rsidRPr="00000000">
        <w:rPr>
          <w:rFonts w:ascii="Arial" w:cs="Arial" w:eastAsia="Arial" w:hAnsi="Arial"/>
          <w:b w:val="1"/>
          <w:color w:val="000000"/>
          <w:sz w:val="21"/>
          <w:szCs w:val="21"/>
          <w:rtl w:val="0"/>
        </w:rPr>
        <w:t xml:space="preserve">Občanský zákoník</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60" w:lineRule="auto"/>
        <w:jc w:val="both"/>
        <w:rPr>
          <w:rFonts w:ascii="Arial" w:cs="Arial" w:eastAsia="Arial" w:hAnsi="Arial"/>
          <w:b w:val="1"/>
          <w:color w:val="000000"/>
          <w:sz w:val="21"/>
          <w:szCs w:val="21"/>
        </w:rPr>
      </w:pPr>
      <w:r w:rsidDel="00000000" w:rsidR="00000000" w:rsidRPr="00000000">
        <w:rPr>
          <w:rFonts w:ascii="Arial" w:cs="Arial" w:eastAsia="Arial" w:hAnsi="Arial"/>
          <w:color w:val="000000"/>
          <w:sz w:val="21"/>
          <w:szCs w:val="21"/>
          <w:rtl w:val="0"/>
        </w:rPr>
        <w:t xml:space="preserve">1.</w:t>
      </w:r>
      <w:r w:rsidDel="00000000" w:rsidR="00000000" w:rsidRPr="00000000">
        <w:rPr>
          <w:rFonts w:ascii="Arial" w:cs="Arial" w:eastAsia="Arial" w:hAnsi="Arial"/>
          <w:b w:val="1"/>
          <w:color w:val="000000"/>
          <w:sz w:val="21"/>
          <w:szCs w:val="21"/>
          <w:rtl w:val="0"/>
        </w:rPr>
        <w:t xml:space="preserve"> Sdružení pro internetový rozvoj v České republice, z.s.p.o. </w:t>
      </w:r>
      <w:r w:rsidDel="00000000" w:rsidR="00000000" w:rsidRPr="00000000">
        <w:rPr>
          <w:rFonts w:ascii="Arial" w:cs="Arial" w:eastAsia="Arial" w:hAnsi="Arial"/>
          <w:b w:val="1"/>
          <w:sz w:val="21"/>
          <w:szCs w:val="21"/>
          <w:rtl w:val="0"/>
        </w:rPr>
        <w:t xml:space="preserve">(ve zkratce "SPIR")</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se sídlem Panská 854/2, 110 00 Praha 1</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IČ: 701 08 005</w:t>
        <w:tab/>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DIČ: CZ70108005</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zapsáno v obchodním rejstříku vedeném Městským soudem v Praze, oddíl L, vložka č. 58596</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bookmarkStart w:colFirst="0" w:colLast="0" w:name="_heading=h.z337ya" w:id="0"/>
      <w:bookmarkEnd w:id="0"/>
      <w:r w:rsidDel="00000000" w:rsidR="00000000" w:rsidRPr="00000000">
        <w:rPr>
          <w:rFonts w:ascii="Arial" w:cs="Arial" w:eastAsia="Arial" w:hAnsi="Arial"/>
          <w:color w:val="000000"/>
          <w:sz w:val="21"/>
          <w:szCs w:val="21"/>
          <w:rtl w:val="0"/>
        </w:rPr>
        <w:t xml:space="preserve">zastoupeno předsednictvem ve složení:</w:t>
      </w:r>
    </w:p>
    <w:p w:rsidR="00000000" w:rsidDel="00000000" w:rsidP="00000000" w:rsidRDefault="00000000" w:rsidRPr="00000000" w14:paraId="0000000B">
      <w:pPr>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bankovní spojení: Raiffeisenbank, č. ú. 375 076 001/5500</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(dále jen "</w:t>
      </w:r>
      <w:r w:rsidDel="00000000" w:rsidR="00000000" w:rsidRPr="00000000">
        <w:rPr>
          <w:rFonts w:ascii="Arial" w:cs="Arial" w:eastAsia="Arial" w:hAnsi="Arial"/>
          <w:b w:val="1"/>
          <w:color w:val="000000"/>
          <w:sz w:val="21"/>
          <w:szCs w:val="21"/>
          <w:rtl w:val="0"/>
        </w:rPr>
        <w:t xml:space="preserve">SPIR</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60" w:lineRule="auto"/>
        <w:jc w:val="both"/>
        <w:rPr>
          <w:rFonts w:ascii="Arial" w:cs="Arial" w:eastAsia="Arial" w:hAnsi="Arial"/>
          <w:b w:val="1"/>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2.</w:t>
      </w:r>
      <w:r w:rsidDel="00000000" w:rsidR="00000000" w:rsidRPr="00000000">
        <w:rPr>
          <w:rFonts w:ascii="Arial" w:cs="Arial" w:eastAsia="Arial" w:hAnsi="Arial"/>
          <w:b w:val="1"/>
          <w:color w:val="000000"/>
          <w:sz w:val="21"/>
          <w:szCs w:val="21"/>
          <w:highlight w:val="yellow"/>
          <w:rtl w:val="0"/>
        </w:rPr>
        <w:t xml:space="preserve"> _______________________</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se sídlem 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IČO: 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DIČ: 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sz w:val="21"/>
          <w:szCs w:val="21"/>
          <w:highlight w:val="yellow"/>
          <w:rtl w:val="0"/>
        </w:rPr>
        <w:t xml:space="preserve">registrovaná</w:t>
      </w:r>
      <w:r w:rsidDel="00000000" w:rsidR="00000000" w:rsidRPr="00000000">
        <w:rPr>
          <w:rFonts w:ascii="Arial" w:cs="Arial" w:eastAsia="Arial" w:hAnsi="Arial"/>
          <w:color w:val="000000"/>
          <w:sz w:val="21"/>
          <w:szCs w:val="21"/>
          <w:highlight w:val="yellow"/>
          <w:rtl w:val="0"/>
        </w:rPr>
        <w:t xml:space="preserve"> v obchodním rejstříku vedeném ___________, oddíl __, vložka č. 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zastoupená 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bankovní spojení: 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highlight w:val="yellow"/>
          <w:rtl w:val="0"/>
        </w:rPr>
        <w:t xml:space="preserve">č. ú. _____________________</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(dále jen "</w:t>
      </w:r>
      <w:r w:rsidDel="00000000" w:rsidR="00000000" w:rsidRPr="00000000">
        <w:rPr>
          <w:rFonts w:ascii="Arial" w:cs="Arial" w:eastAsia="Arial" w:hAnsi="Arial"/>
          <w:b w:val="1"/>
          <w:rtl w:val="0"/>
        </w:rPr>
        <w:t xml:space="preserve">Odběratel</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(společně dále jen "</w:t>
      </w:r>
      <w:r w:rsidDel="00000000" w:rsidR="00000000" w:rsidRPr="00000000">
        <w:rPr>
          <w:rFonts w:ascii="Arial" w:cs="Arial" w:eastAsia="Arial" w:hAnsi="Arial"/>
          <w:b w:val="1"/>
          <w:color w:val="000000"/>
          <w:sz w:val="21"/>
          <w:szCs w:val="21"/>
          <w:rtl w:val="0"/>
        </w:rPr>
        <w:t xml:space="preserve">Smluvní strany</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uzavřely níže uvedeného dne tuto smlouvu o účasti ve výzkumu NetMonitor (dále jen "</w:t>
      </w:r>
      <w:r w:rsidDel="00000000" w:rsidR="00000000" w:rsidRPr="00000000">
        <w:rPr>
          <w:rFonts w:ascii="Arial" w:cs="Arial" w:eastAsia="Arial" w:hAnsi="Arial"/>
          <w:b w:val="1"/>
          <w:color w:val="000000"/>
          <w:sz w:val="21"/>
          <w:szCs w:val="21"/>
          <w:rtl w:val="0"/>
        </w:rPr>
        <w:t xml:space="preserve">Smlouva</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1B">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C">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rFonts w:ascii="Arial" w:cs="Arial" w:eastAsia="Arial" w:hAnsi="Arial"/>
          <w:b w:val="1"/>
          <w:smallCaps w:val="1"/>
          <w:color w:val="000000"/>
          <w:sz w:val="21"/>
          <w:szCs w:val="21"/>
          <w:rtl w:val="0"/>
        </w:rPr>
        <w:t xml:space="preserve">DEFINICE A VÝKLAD </w:t>
      </w:r>
      <w:r w:rsidDel="00000000" w:rsidR="00000000" w:rsidRPr="00000000">
        <w:rPr>
          <w:rtl w:val="0"/>
        </w:rPr>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Pokud není v této Smlouvě výslovně uvedeno jinak, mají pojmy obsažené v této Smlouvě a jejích přílohách, pokud začínají velkými písmeny, význam definovaný v čl. 2 přílohy č. 1 této Smlouvy – Obchodních podmínek Sdružení pro internetový rozvoj v České republice, z.s.p.o. pro účast ve výzkumu NetMonitor platných ke dni uzavření této Smlouvy (dále jen „</w:t>
      </w:r>
      <w:r w:rsidDel="00000000" w:rsidR="00000000" w:rsidRPr="00000000">
        <w:rPr>
          <w:rFonts w:ascii="Arial" w:cs="Arial" w:eastAsia="Arial" w:hAnsi="Arial"/>
          <w:b w:val="1"/>
          <w:color w:val="000000"/>
          <w:sz w:val="21"/>
          <w:szCs w:val="21"/>
          <w:rtl w:val="0"/>
        </w:rPr>
        <w:t xml:space="preserve">Obchodní podmínky</w:t>
      </w:r>
      <w:r w:rsidDel="00000000" w:rsidR="00000000" w:rsidRPr="00000000">
        <w:rPr>
          <w:rFonts w:ascii="Arial" w:cs="Arial" w:eastAsia="Arial" w:hAnsi="Arial"/>
          <w:color w:val="000000"/>
          <w:sz w:val="21"/>
          <w:szCs w:val="21"/>
          <w:rtl w:val="0"/>
        </w:rPr>
        <w:t xml:space="preserve">“) a v příloze č. 4 této Smlouvy – Metodice NetMonitoru měření návštěvnosti internetu (dále jen „</w:t>
      </w:r>
      <w:r w:rsidDel="00000000" w:rsidR="00000000" w:rsidRPr="00000000">
        <w:rPr>
          <w:rFonts w:ascii="Arial" w:cs="Arial" w:eastAsia="Arial" w:hAnsi="Arial"/>
          <w:b w:val="1"/>
          <w:color w:val="000000"/>
          <w:sz w:val="21"/>
          <w:szCs w:val="21"/>
          <w:rtl w:val="0"/>
        </w:rPr>
        <w:t xml:space="preserve">Metodika</w:t>
      </w:r>
      <w:r w:rsidDel="00000000" w:rsidR="00000000" w:rsidRPr="00000000">
        <w:rPr>
          <w:rFonts w:ascii="Arial" w:cs="Arial" w:eastAsia="Arial" w:hAnsi="Arial"/>
          <w:color w:val="000000"/>
          <w:sz w:val="21"/>
          <w:szCs w:val="21"/>
          <w:rtl w:val="0"/>
        </w:rPr>
        <w:t xml:space="preserve">“) s tím, že Obchodní podmínky i Metodika jsou v aktuální verzi zveřejněny na webové stránce </w:t>
      </w:r>
      <w:hyperlink r:id="rId7">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 </w:t>
      </w:r>
      <w:r w:rsidDel="00000000" w:rsidR="00000000" w:rsidRPr="00000000">
        <w:rPr>
          <w:rtl w:val="0"/>
        </w:rPr>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Nadpisy ve Smlouvě nebo v jejích přílohách slouží pouze pro snazší orientaci a nemají vliv na výklad </w:t>
      </w:r>
      <w:r w:rsidDel="00000000" w:rsidR="00000000" w:rsidRPr="00000000">
        <w:rPr>
          <w:rFonts w:ascii="Arial" w:cs="Arial" w:eastAsia="Arial" w:hAnsi="Arial"/>
          <w:sz w:val="21"/>
          <w:szCs w:val="21"/>
          <w:rtl w:val="0"/>
        </w:rPr>
        <w:t xml:space="preserve">ani nezakládají závazný obsahový význam</w:t>
      </w:r>
      <w:r w:rsidDel="00000000" w:rsidR="00000000" w:rsidRPr="00000000">
        <w:rPr>
          <w:rFonts w:ascii="Arial" w:cs="Arial" w:eastAsia="Arial" w:hAnsi="Arial"/>
          <w:color w:val="000000"/>
          <w:sz w:val="21"/>
          <w:szCs w:val="21"/>
          <w:rtl w:val="0"/>
        </w:rPr>
        <w:t xml:space="preserve"> těchto dokumentů. </w:t>
      </w:r>
      <w:r w:rsidDel="00000000" w:rsidR="00000000" w:rsidRPr="00000000">
        <w:rPr>
          <w:rtl w:val="0"/>
        </w:rPr>
      </w:r>
    </w:p>
    <w:p w:rsidR="00000000" w:rsidDel="00000000" w:rsidP="00000000" w:rsidRDefault="00000000" w:rsidRPr="00000000" w14:paraId="0000001F">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rFonts w:ascii="Arial" w:cs="Arial" w:eastAsia="Arial" w:hAnsi="Arial"/>
          <w:b w:val="1"/>
          <w:smallCaps w:val="1"/>
          <w:color w:val="000000"/>
          <w:sz w:val="21"/>
          <w:szCs w:val="21"/>
          <w:rtl w:val="0"/>
        </w:rPr>
        <w:t xml:space="preserve">Předmět smlouvy </w:t>
      </w:r>
      <w:r w:rsidDel="00000000" w:rsidR="00000000" w:rsidRPr="00000000">
        <w:rPr>
          <w:rtl w:val="0"/>
        </w:rPr>
      </w:r>
    </w:p>
    <w:p w:rsidR="00000000" w:rsidDel="00000000" w:rsidP="00000000" w:rsidRDefault="00000000" w:rsidRPr="00000000" w14:paraId="00000020">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Předmětem Smlouvy je:</w:t>
      </w:r>
      <w:r w:rsidDel="00000000" w:rsidR="00000000" w:rsidRPr="00000000">
        <w:rPr>
          <w:rtl w:val="0"/>
        </w:rPr>
      </w:r>
    </w:p>
    <w:p w:rsidR="00000000" w:rsidDel="00000000" w:rsidP="00000000" w:rsidRDefault="00000000" w:rsidRPr="00000000" w14:paraId="00000021">
      <w:pPr>
        <w:keepNext w:val="1"/>
        <w:numPr>
          <w:ilvl w:val="2"/>
          <w:numId w:val="3"/>
        </w:numPr>
        <w:pBdr>
          <w:top w:space="0" w:sz="0" w:val="nil"/>
          <w:left w:space="0" w:sz="0" w:val="nil"/>
          <w:bottom w:space="0" w:sz="0" w:val="nil"/>
          <w:right w:space="0" w:sz="0" w:val="nil"/>
          <w:between w:space="0" w:sz="0" w:val="nil"/>
        </w:pBdr>
        <w:spacing w:after="60" w:lineRule="auto"/>
        <w:ind w:left="1622" w:hanging="902"/>
        <w:jc w:val="both"/>
        <w:rPr/>
      </w:pPr>
      <w:bookmarkStart w:colFirst="0" w:colLast="0" w:name="_heading=h.gjdgxs" w:id="1"/>
      <w:bookmarkEnd w:id="1"/>
      <w:r w:rsidDel="00000000" w:rsidR="00000000" w:rsidRPr="00000000">
        <w:rPr>
          <w:rFonts w:ascii="Arial" w:cs="Arial" w:eastAsia="Arial" w:hAnsi="Arial"/>
          <w:color w:val="000000"/>
          <w:sz w:val="21"/>
          <w:szCs w:val="21"/>
          <w:rtl w:val="0"/>
        </w:rPr>
        <w:t xml:space="preserve">závazek SPIR způsobem a v termínech stanovených v této Smlouvě a v jejích přílohách:</w:t>
      </w:r>
      <w:r w:rsidDel="00000000" w:rsidR="00000000" w:rsidRPr="00000000">
        <w:rPr>
          <w:rtl w:val="0"/>
        </w:rPr>
      </w:r>
    </w:p>
    <w:p w:rsidR="00000000" w:rsidDel="00000000" w:rsidP="00000000" w:rsidRDefault="00000000" w:rsidRPr="00000000" w14:paraId="00000022">
      <w:pPr>
        <w:numPr>
          <w:ilvl w:val="4"/>
          <w:numId w:val="3"/>
        </w:numPr>
        <w:pBdr>
          <w:top w:space="0" w:sz="0" w:val="nil"/>
          <w:left w:space="0" w:sz="0" w:val="nil"/>
          <w:bottom w:space="0" w:sz="0" w:val="nil"/>
          <w:right w:space="0" w:sz="0" w:val="nil"/>
          <w:between w:space="0" w:sz="0" w:val="nil"/>
        </w:pBdr>
        <w:spacing w:after="60" w:lineRule="auto"/>
        <w:ind w:left="2699" w:hanging="1077"/>
        <w:jc w:val="both"/>
        <w:rPr/>
      </w:pPr>
      <w:bookmarkStart w:colFirst="0" w:colLast="0" w:name="_heading=h.3j2qqm3" w:id="2"/>
      <w:bookmarkEnd w:id="2"/>
      <w:r w:rsidDel="00000000" w:rsidR="00000000" w:rsidRPr="00000000">
        <w:rPr>
          <w:rFonts w:ascii="Arial" w:cs="Arial" w:eastAsia="Arial" w:hAnsi="Arial"/>
          <w:color w:val="000000"/>
          <w:sz w:val="21"/>
          <w:szCs w:val="21"/>
          <w:rtl w:val="0"/>
        </w:rPr>
        <w:t xml:space="preserve">zajistit provádění Výzkumu </w:t>
      </w:r>
      <w:r w:rsidDel="00000000" w:rsidR="00000000" w:rsidRPr="00000000">
        <w:rPr>
          <w:rFonts w:ascii="Arial" w:cs="Arial" w:eastAsia="Arial" w:hAnsi="Arial"/>
          <w:rtl w:val="0"/>
        </w:rPr>
        <w:t xml:space="preserve">pro Odběratele</w:t>
      </w:r>
      <w:r w:rsidDel="00000000" w:rsidR="00000000" w:rsidRPr="00000000">
        <w:rPr>
          <w:rFonts w:ascii="Arial" w:cs="Arial" w:eastAsia="Arial" w:hAnsi="Arial"/>
          <w:color w:val="000000"/>
          <w:sz w:val="21"/>
          <w:szCs w:val="21"/>
          <w:rtl w:val="0"/>
        </w:rPr>
        <w:t xml:space="preserve">,</w:t>
      </w:r>
      <w:r w:rsidDel="00000000" w:rsidR="00000000" w:rsidRPr="00000000">
        <w:rPr>
          <w:rtl w:val="0"/>
        </w:rPr>
      </w:r>
    </w:p>
    <w:p w:rsidR="00000000" w:rsidDel="00000000" w:rsidP="00000000" w:rsidRDefault="00000000" w:rsidRPr="00000000" w14:paraId="00000023">
      <w:pPr>
        <w:numPr>
          <w:ilvl w:val="4"/>
          <w:numId w:val="3"/>
        </w:numPr>
        <w:pBdr>
          <w:top w:space="0" w:sz="0" w:val="nil"/>
          <w:left w:space="0" w:sz="0" w:val="nil"/>
          <w:bottom w:space="0" w:sz="0" w:val="nil"/>
          <w:right w:space="0" w:sz="0" w:val="nil"/>
          <w:between w:space="0" w:sz="0" w:val="nil"/>
        </w:pBdr>
        <w:spacing w:after="60" w:lineRule="auto"/>
        <w:ind w:left="2699" w:hanging="1077"/>
        <w:jc w:val="both"/>
        <w:rPr/>
      </w:pPr>
      <w:bookmarkStart w:colFirst="0" w:colLast="0" w:name="_heading=h.1y810tw" w:id="3"/>
      <w:bookmarkEnd w:id="3"/>
      <w:r w:rsidDel="00000000" w:rsidR="00000000" w:rsidRPr="00000000">
        <w:rPr>
          <w:rFonts w:ascii="Arial" w:cs="Arial" w:eastAsia="Arial" w:hAnsi="Arial"/>
          <w:color w:val="000000"/>
          <w:sz w:val="21"/>
          <w:szCs w:val="21"/>
          <w:rtl w:val="0"/>
        </w:rPr>
        <w:t xml:space="preserve">zajistit pro Odběratele licenci k užití analytického software v počtu 10, další licence jsou zpopla</w:t>
      </w:r>
      <w:r w:rsidDel="00000000" w:rsidR="00000000" w:rsidRPr="00000000">
        <w:rPr>
          <w:rFonts w:ascii="Arial" w:cs="Arial" w:eastAsia="Arial" w:hAnsi="Arial"/>
          <w:sz w:val="21"/>
          <w:szCs w:val="21"/>
          <w:rtl w:val="0"/>
        </w:rPr>
        <w:t xml:space="preserve">tněny dle Ceníku,</w:t>
      </w:r>
      <w:r w:rsidDel="00000000" w:rsidR="00000000" w:rsidRPr="00000000">
        <w:rPr>
          <w:rtl w:val="0"/>
        </w:rPr>
      </w:r>
    </w:p>
    <w:p w:rsidR="00000000" w:rsidDel="00000000" w:rsidP="00000000" w:rsidRDefault="00000000" w:rsidRPr="00000000" w14:paraId="00000024">
      <w:pPr>
        <w:numPr>
          <w:ilvl w:val="4"/>
          <w:numId w:val="3"/>
        </w:numPr>
        <w:pBdr>
          <w:top w:space="0" w:sz="0" w:val="nil"/>
          <w:left w:space="0" w:sz="0" w:val="nil"/>
          <w:bottom w:space="0" w:sz="0" w:val="nil"/>
          <w:right w:space="0" w:sz="0" w:val="nil"/>
          <w:between w:space="0" w:sz="0" w:val="nil"/>
        </w:pBdr>
        <w:spacing w:after="240" w:lineRule="auto"/>
        <w:ind w:left="2699" w:hanging="1077"/>
        <w:jc w:val="both"/>
        <w:rPr/>
      </w:pPr>
      <w:bookmarkStart w:colFirst="0" w:colLast="0" w:name="_heading=h.1fob9te" w:id="4"/>
      <w:bookmarkEnd w:id="4"/>
      <w:r w:rsidDel="00000000" w:rsidR="00000000" w:rsidRPr="00000000">
        <w:rPr>
          <w:rFonts w:ascii="Arial" w:cs="Arial" w:eastAsia="Arial" w:hAnsi="Arial"/>
          <w:color w:val="000000"/>
          <w:sz w:val="21"/>
          <w:szCs w:val="21"/>
          <w:rtl w:val="0"/>
        </w:rPr>
        <w:t xml:space="preserve">předávat Výsledky Výzkumu </w:t>
      </w:r>
      <w:r w:rsidDel="00000000" w:rsidR="00000000" w:rsidRPr="00000000">
        <w:rPr>
          <w:rFonts w:ascii="Arial" w:cs="Arial" w:eastAsia="Arial" w:hAnsi="Arial"/>
          <w:rtl w:val="0"/>
        </w:rPr>
        <w:t xml:space="preserve">Odběrateli</w:t>
      </w:r>
      <w:r w:rsidDel="00000000" w:rsidR="00000000" w:rsidRPr="00000000">
        <w:rPr>
          <w:rFonts w:ascii="Arial" w:cs="Arial" w:eastAsia="Arial" w:hAnsi="Arial"/>
          <w:color w:val="000000"/>
          <w:sz w:val="21"/>
          <w:szCs w:val="21"/>
          <w:rtl w:val="0"/>
        </w:rPr>
        <w:t xml:space="preserve">, a to v rozsahu stanoveném v příloze č. 2 Smlouvy – Rozsah dodávaných modulů Výsledků Výzkumu;</w:t>
      </w:r>
      <w:r w:rsidDel="00000000" w:rsidR="00000000" w:rsidRPr="00000000">
        <w:rPr>
          <w:rtl w:val="0"/>
        </w:rPr>
      </w:r>
    </w:p>
    <w:p w:rsidR="00000000" w:rsidDel="00000000" w:rsidP="00000000" w:rsidRDefault="00000000" w:rsidRPr="00000000" w14:paraId="00000025">
      <w:pPr>
        <w:numPr>
          <w:ilvl w:val="2"/>
          <w:numId w:val="3"/>
        </w:numPr>
        <w:pBdr>
          <w:top w:space="0" w:sz="0" w:val="nil"/>
          <w:left w:space="0" w:sz="0" w:val="nil"/>
          <w:bottom w:space="0" w:sz="0" w:val="nil"/>
          <w:right w:space="0" w:sz="0" w:val="nil"/>
          <w:between w:space="0" w:sz="0" w:val="nil"/>
        </w:pBdr>
        <w:spacing w:after="60" w:lineRule="auto"/>
        <w:ind w:left="1622" w:hanging="902"/>
        <w:jc w:val="both"/>
        <w:rPr/>
      </w:pPr>
      <w:bookmarkStart w:colFirst="0" w:colLast="0" w:name="_heading=h.3znysh7" w:id="5"/>
      <w:bookmarkEnd w:id="5"/>
      <w:r w:rsidDel="00000000" w:rsidR="00000000" w:rsidRPr="00000000">
        <w:rPr>
          <w:rFonts w:ascii="Arial" w:cs="Arial" w:eastAsia="Arial" w:hAnsi="Arial"/>
          <w:color w:val="000000"/>
          <w:sz w:val="21"/>
          <w:szCs w:val="21"/>
          <w:rtl w:val="0"/>
        </w:rPr>
        <w:t xml:space="preserve">závazek </w:t>
      </w:r>
      <w:r w:rsidDel="00000000" w:rsidR="00000000" w:rsidRPr="00000000">
        <w:rPr>
          <w:rFonts w:ascii="Arial" w:cs="Arial" w:eastAsia="Arial" w:hAnsi="Arial"/>
          <w:rtl w:val="0"/>
        </w:rPr>
        <w:t xml:space="preserve">Odběratele</w:t>
      </w:r>
      <w:r w:rsidDel="00000000" w:rsidR="00000000" w:rsidRPr="00000000">
        <w:rPr>
          <w:rFonts w:ascii="Arial" w:cs="Arial" w:eastAsia="Arial" w:hAnsi="Arial"/>
          <w:color w:val="000000"/>
          <w:sz w:val="21"/>
          <w:szCs w:val="21"/>
          <w:rtl w:val="0"/>
        </w:rPr>
        <w:t xml:space="preserve">:</w:t>
      </w:r>
      <w:r w:rsidDel="00000000" w:rsidR="00000000" w:rsidRPr="00000000">
        <w:rPr>
          <w:rtl w:val="0"/>
        </w:rPr>
      </w:r>
    </w:p>
    <w:p w:rsidR="00000000" w:rsidDel="00000000" w:rsidP="00000000" w:rsidRDefault="00000000" w:rsidRPr="00000000" w14:paraId="00000026">
      <w:pPr>
        <w:numPr>
          <w:ilvl w:val="4"/>
          <w:numId w:val="3"/>
        </w:numPr>
        <w:pBdr>
          <w:top w:space="0" w:sz="0" w:val="nil"/>
          <w:left w:space="0" w:sz="0" w:val="nil"/>
          <w:bottom w:space="0" w:sz="0" w:val="nil"/>
          <w:right w:space="0" w:sz="0" w:val="nil"/>
          <w:between w:space="0" w:sz="0" w:val="nil"/>
        </w:pBdr>
        <w:spacing w:after="240" w:lineRule="auto"/>
        <w:ind w:left="2699" w:hanging="1077"/>
        <w:jc w:val="both"/>
        <w:rPr/>
      </w:pPr>
      <w:bookmarkStart w:colFirst="0" w:colLast="0" w:name="_heading=h.2et92p0" w:id="6"/>
      <w:bookmarkEnd w:id="6"/>
      <w:r w:rsidDel="00000000" w:rsidR="00000000" w:rsidRPr="00000000">
        <w:rPr>
          <w:rFonts w:ascii="Arial" w:cs="Arial" w:eastAsia="Arial" w:hAnsi="Arial"/>
          <w:color w:val="000000"/>
          <w:sz w:val="21"/>
          <w:szCs w:val="21"/>
          <w:rtl w:val="0"/>
        </w:rPr>
        <w:t xml:space="preserve">uhradit SPIR za jeho činnost dle čl. 2.1.1 Smlouvy cenu ve výši podle čl. 3 této Smlouvy.</w:t>
      </w:r>
      <w:r w:rsidDel="00000000" w:rsidR="00000000" w:rsidRPr="00000000">
        <w:rPr>
          <w:rtl w:val="0"/>
        </w:rPr>
      </w:r>
    </w:p>
    <w:p w:rsidR="00000000" w:rsidDel="00000000" w:rsidP="00000000" w:rsidRDefault="00000000" w:rsidRPr="00000000" w14:paraId="00000027">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tyjcwt" w:id="7"/>
      <w:bookmarkEnd w:id="7"/>
      <w:r w:rsidDel="00000000" w:rsidR="00000000" w:rsidRPr="00000000">
        <w:rPr>
          <w:rFonts w:ascii="Arial" w:cs="Arial" w:eastAsia="Arial" w:hAnsi="Arial"/>
          <w:color w:val="000000"/>
          <w:sz w:val="21"/>
          <w:szCs w:val="21"/>
          <w:rtl w:val="0"/>
        </w:rPr>
        <w:t xml:space="preserve">Služby dle této Smlouvy budou probíhat způsobem a v rozsahu a parametrech stanovených v příloze </w:t>
      </w:r>
      <w:r w:rsidDel="00000000" w:rsidR="00000000" w:rsidRPr="00000000">
        <w:rPr>
          <w:rFonts w:ascii="Arial" w:cs="Arial" w:eastAsia="Arial" w:hAnsi="Arial"/>
          <w:sz w:val="21"/>
          <w:szCs w:val="21"/>
          <w:rtl w:val="0"/>
        </w:rPr>
        <w:t xml:space="preserve">č. 4 této Smlouvy – </w:t>
      </w:r>
      <w:r w:rsidDel="00000000" w:rsidR="00000000" w:rsidRPr="00000000">
        <w:rPr>
          <w:rFonts w:ascii="Arial" w:cs="Arial" w:eastAsia="Arial" w:hAnsi="Arial"/>
          <w:color w:val="000000"/>
          <w:sz w:val="21"/>
          <w:szCs w:val="21"/>
          <w:rtl w:val="0"/>
        </w:rPr>
        <w:t xml:space="preserve">Metodice, pokud nebude písemně dohodnuto jinak.</w:t>
      </w:r>
      <w:r w:rsidDel="00000000" w:rsidR="00000000" w:rsidRPr="00000000">
        <w:rPr>
          <w:rtl w:val="0"/>
        </w:rPr>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3dy6vkm" w:id="8"/>
      <w:bookmarkEnd w:id="8"/>
      <w:r w:rsidDel="00000000" w:rsidR="00000000" w:rsidRPr="00000000">
        <w:rPr>
          <w:rFonts w:ascii="Arial" w:cs="Arial" w:eastAsia="Arial" w:hAnsi="Arial"/>
          <w:color w:val="000000"/>
          <w:sz w:val="21"/>
          <w:szCs w:val="21"/>
          <w:rtl w:val="0"/>
        </w:rPr>
        <w:t xml:space="preserve">Smluvní strany se dohodly, že rozsah dodávaných modulů Výsledku Výzkumu lze stanovit a měnit pouze výslovným písemným oboustranným ujednáním podepsaným oprávněnými zástupci obou Smluvních stran.</w:t>
      </w:r>
      <w:r w:rsidDel="00000000" w:rsidR="00000000" w:rsidRPr="00000000">
        <w:rPr>
          <w:rtl w:val="0"/>
        </w:rPr>
      </w:r>
    </w:p>
    <w:p w:rsidR="00000000" w:rsidDel="00000000" w:rsidP="00000000" w:rsidRDefault="00000000" w:rsidRPr="00000000" w14:paraId="00000029">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1t3h5sf" w:id="9"/>
      <w:bookmarkEnd w:id="9"/>
      <w:r w:rsidDel="00000000" w:rsidR="00000000" w:rsidRPr="00000000">
        <w:rPr>
          <w:rFonts w:ascii="Arial" w:cs="Arial" w:eastAsia="Arial" w:hAnsi="Arial"/>
          <w:b w:val="1"/>
          <w:smallCaps w:val="1"/>
          <w:color w:val="000000"/>
          <w:sz w:val="21"/>
          <w:szCs w:val="21"/>
          <w:rtl w:val="0"/>
        </w:rPr>
        <w:t xml:space="preserve">Cena</w:t>
      </w:r>
      <w:r w:rsidDel="00000000" w:rsidR="00000000" w:rsidRPr="00000000">
        <w:rPr>
          <w:rtl w:val="0"/>
        </w:rPr>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4d34og8" w:id="10"/>
      <w:bookmarkEnd w:id="10"/>
      <w:r w:rsidDel="00000000" w:rsidR="00000000" w:rsidRPr="00000000">
        <w:rPr>
          <w:rFonts w:ascii="Arial" w:cs="Arial" w:eastAsia="Arial" w:hAnsi="Arial"/>
          <w:color w:val="000000"/>
          <w:sz w:val="21"/>
          <w:szCs w:val="21"/>
          <w:rtl w:val="0"/>
        </w:rPr>
        <w:t xml:space="preserve">Cena za služby </w:t>
      </w:r>
      <w:r w:rsidDel="00000000" w:rsidR="00000000" w:rsidRPr="00000000">
        <w:rPr>
          <w:rFonts w:ascii="Arial" w:cs="Arial" w:eastAsia="Arial" w:hAnsi="Arial"/>
          <w:sz w:val="21"/>
          <w:szCs w:val="21"/>
          <w:rtl w:val="0"/>
        </w:rPr>
        <w:t xml:space="preserve">SPIR</w:t>
      </w:r>
      <w:r w:rsidDel="00000000" w:rsidR="00000000" w:rsidRPr="00000000">
        <w:rPr>
          <w:rFonts w:ascii="Arial" w:cs="Arial" w:eastAsia="Arial" w:hAnsi="Arial"/>
          <w:color w:val="000000"/>
          <w:sz w:val="21"/>
          <w:szCs w:val="21"/>
          <w:rtl w:val="0"/>
        </w:rPr>
        <w:t xml:space="preserve"> dle této Smlouvy se řídí aktuálním Ceníkem, který je zveřejněn na webových stránkách </w:t>
      </w:r>
      <w:hyperlink r:id="rId8">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 Verze Ceníku platná ke dni podpisu Smlouvy tvoří přílohu č. 3 této Smlouvy.</w:t>
      </w:r>
      <w:r w:rsidDel="00000000" w:rsidR="00000000" w:rsidRPr="00000000">
        <w:rPr>
          <w:rtl w:val="0"/>
        </w:rPr>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V ceně dle čl. 3.1 této Smlouvy jsou zahrnuty veškeré náklady a výdaje spojené s dodáním Výsledků Výzkumu. K ceně dle čl. 3.1 této Smlouvy bude doúčtována daň z přidané hodnoty v zákonné výši.</w:t>
      </w:r>
      <w:r w:rsidDel="00000000" w:rsidR="00000000" w:rsidRPr="00000000">
        <w:rPr>
          <w:rtl w:val="0"/>
        </w:rPr>
      </w:r>
    </w:p>
    <w:p w:rsidR="00000000" w:rsidDel="00000000" w:rsidP="00000000" w:rsidRDefault="00000000" w:rsidRPr="00000000" w14:paraId="0000002C">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SPIR je oprávněn upravit výši ceny plnění dle čl. 3.1 této Smlouvy pro dalších 12 měsíců procentuálním navýšením o míru inflace za předchozí kalendářní rok. Míra roční inflace bude stanovena na základě údajů zveřejněných Českým statistickým úřadem (dle indexu spotřebitelských cen) za předcházející rok. Zvýšení bude účinné od </w:t>
      </w:r>
      <w:r w:rsidDel="00000000" w:rsidR="00000000" w:rsidRPr="00000000">
        <w:rPr>
          <w:rFonts w:ascii="Arial" w:cs="Arial" w:eastAsia="Arial" w:hAnsi="Arial"/>
          <w:sz w:val="21"/>
          <w:szCs w:val="21"/>
          <w:rtl w:val="0"/>
        </w:rPr>
        <w:t xml:space="preserve">1. 2., přičemž SPIR má povinnost zveřejnit nový ceník do 31. 1. roku následujícího po roce, za který se míra inflace uplatňuje.</w:t>
      </w:r>
      <w:r w:rsidDel="00000000" w:rsidR="00000000" w:rsidRPr="00000000">
        <w:rPr>
          <w:rFonts w:ascii="Arial" w:cs="Arial" w:eastAsia="Arial" w:hAnsi="Arial"/>
          <w:color w:val="000000"/>
          <w:sz w:val="21"/>
          <w:szCs w:val="21"/>
          <w:rtl w:val="0"/>
        </w:rPr>
        <w:t xml:space="preserve"> SPIR je povinen o této změně </w:t>
      </w:r>
      <w:r w:rsidDel="00000000" w:rsidR="00000000" w:rsidRPr="00000000">
        <w:rPr>
          <w:rFonts w:ascii="Arial" w:cs="Arial" w:eastAsia="Arial" w:hAnsi="Arial"/>
          <w:rtl w:val="0"/>
        </w:rPr>
        <w:t xml:space="preserve">Odběratele</w:t>
      </w:r>
      <w:r w:rsidDel="00000000" w:rsidR="00000000" w:rsidRPr="00000000">
        <w:rPr>
          <w:rFonts w:ascii="Arial" w:cs="Arial" w:eastAsia="Arial" w:hAnsi="Arial"/>
          <w:color w:val="000000"/>
          <w:sz w:val="21"/>
          <w:szCs w:val="21"/>
          <w:rtl w:val="0"/>
        </w:rPr>
        <w:t xml:space="preserve"> bez zbytečného odkladu vyrozumět. V případě, že došlo ke zvýšení ceny plnění dle tohoto článku a </w:t>
      </w:r>
      <w:r w:rsidDel="00000000" w:rsidR="00000000" w:rsidRPr="00000000">
        <w:rPr>
          <w:rFonts w:ascii="Arial" w:cs="Arial" w:eastAsia="Arial" w:hAnsi="Arial"/>
          <w:rtl w:val="0"/>
        </w:rPr>
        <w:t xml:space="preserve">Odběratel</w:t>
      </w:r>
      <w:r w:rsidDel="00000000" w:rsidR="00000000" w:rsidRPr="00000000">
        <w:rPr>
          <w:rFonts w:ascii="Arial" w:cs="Arial" w:eastAsia="Arial" w:hAnsi="Arial"/>
          <w:color w:val="000000"/>
          <w:sz w:val="21"/>
          <w:szCs w:val="21"/>
          <w:rtl w:val="0"/>
        </w:rPr>
        <w:t xml:space="preserve"> již splatnou cenu plnění podléhající zvýšení uhradil, pak je </w:t>
      </w:r>
      <w:r w:rsidDel="00000000" w:rsidR="00000000" w:rsidRPr="00000000">
        <w:rPr>
          <w:rFonts w:ascii="Arial" w:cs="Arial" w:eastAsia="Arial" w:hAnsi="Arial"/>
          <w:rtl w:val="0"/>
        </w:rPr>
        <w:t xml:space="preserve">Odběratel </w:t>
      </w:r>
      <w:r w:rsidDel="00000000" w:rsidR="00000000" w:rsidRPr="00000000">
        <w:rPr>
          <w:rFonts w:ascii="Arial" w:cs="Arial" w:eastAsia="Arial" w:hAnsi="Arial"/>
          <w:color w:val="000000"/>
          <w:sz w:val="21"/>
          <w:szCs w:val="21"/>
          <w:rtl w:val="0"/>
        </w:rPr>
        <w:t xml:space="preserve">povinen doplatek k již zaplacené ceně plnění uhradit SPIR v termínu nejblíže příště splatné ceny plnění, pokud se Smluvní strany nedohodnou jinak. Možnost zvýšení ceny dle článku 3.1 Smlouvy tím není dotčena.</w:t>
      </w:r>
      <w:r w:rsidDel="00000000" w:rsidR="00000000" w:rsidRPr="00000000">
        <w:rPr>
          <w:rtl w:val="0"/>
        </w:rPr>
      </w:r>
    </w:p>
    <w:p w:rsidR="00000000" w:rsidDel="00000000" w:rsidP="00000000" w:rsidRDefault="00000000" w:rsidRPr="00000000" w14:paraId="0000002D">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2s8eyo1" w:id="11"/>
      <w:bookmarkEnd w:id="11"/>
      <w:r w:rsidDel="00000000" w:rsidR="00000000" w:rsidRPr="00000000">
        <w:rPr>
          <w:rFonts w:ascii="Arial" w:cs="Arial" w:eastAsia="Arial" w:hAnsi="Arial"/>
          <w:b w:val="1"/>
          <w:smallCaps w:val="1"/>
          <w:color w:val="000000"/>
          <w:sz w:val="21"/>
          <w:szCs w:val="21"/>
          <w:rtl w:val="0"/>
        </w:rPr>
        <w:t xml:space="preserve">Kontaktní osoba </w:t>
      </w:r>
      <w:r w:rsidDel="00000000" w:rsidR="00000000" w:rsidRPr="00000000">
        <w:rPr>
          <w:rFonts w:ascii="Arial" w:cs="Arial" w:eastAsia="Arial" w:hAnsi="Arial"/>
          <w:rtl w:val="0"/>
        </w:rPr>
        <w:t xml:space="preserve">Odběratele</w:t>
      </w:r>
      <w:r w:rsidDel="00000000" w:rsidR="00000000" w:rsidRPr="00000000">
        <w:rPr>
          <w:rtl w:val="0"/>
        </w:rPr>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Kontaktní osobou </w:t>
      </w:r>
      <w:r w:rsidDel="00000000" w:rsidR="00000000" w:rsidRPr="00000000">
        <w:rPr>
          <w:rFonts w:ascii="Arial" w:cs="Arial" w:eastAsia="Arial" w:hAnsi="Arial"/>
          <w:rtl w:val="0"/>
        </w:rPr>
        <w:t xml:space="preserve">Odběratele </w:t>
      </w:r>
      <w:r w:rsidDel="00000000" w:rsidR="00000000" w:rsidRPr="00000000">
        <w:rPr>
          <w:rFonts w:ascii="Arial" w:cs="Arial" w:eastAsia="Arial" w:hAnsi="Arial"/>
          <w:color w:val="000000"/>
          <w:sz w:val="21"/>
          <w:szCs w:val="21"/>
          <w:rtl w:val="0"/>
        </w:rPr>
        <w:t xml:space="preserve">je: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6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Jméno: </w:t>
        <w:tab/>
        <w:t xml:space="preserve">_____________</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6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Adresa: </w:t>
        <w:tab/>
        <w:t xml:space="preserve">_____________</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6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E-mail: </w:t>
        <w:tab/>
        <w:t xml:space="preserve">_____________</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Tel.:</w:t>
        <w:tab/>
        <w:tab/>
        <w:t xml:space="preserve">_____________</w:t>
      </w:r>
    </w:p>
    <w:p w:rsidR="00000000" w:rsidDel="00000000" w:rsidP="00000000" w:rsidRDefault="00000000" w:rsidRPr="00000000" w14:paraId="00000033">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rFonts w:ascii="Arial" w:cs="Arial" w:eastAsia="Arial" w:hAnsi="Arial"/>
          <w:b w:val="1"/>
          <w:smallCaps w:val="1"/>
          <w:color w:val="000000"/>
          <w:sz w:val="21"/>
          <w:szCs w:val="21"/>
          <w:rtl w:val="0"/>
        </w:rPr>
        <w:t xml:space="preserve">Doba uzavření smlouvy</w:t>
      </w:r>
      <w:r w:rsidDel="00000000" w:rsidR="00000000" w:rsidRPr="00000000">
        <w:rPr>
          <w:rtl w:val="0"/>
        </w:rPr>
      </w:r>
    </w:p>
    <w:p w:rsidR="00000000" w:rsidDel="00000000" w:rsidP="00000000" w:rsidRDefault="00000000" w:rsidRPr="00000000" w14:paraId="00000034">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Smlouva nabývá platnosti a účinnosti dnem podpisu zástupců obou Smluvních stran. </w:t>
      </w:r>
      <w:r w:rsidDel="00000000" w:rsidR="00000000" w:rsidRPr="00000000">
        <w:rPr>
          <w:rtl w:val="0"/>
        </w:rPr>
      </w:r>
    </w:p>
    <w:p w:rsidR="00000000" w:rsidDel="00000000" w:rsidP="00000000" w:rsidRDefault="00000000" w:rsidRPr="00000000" w14:paraId="00000035">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17dp8vu" w:id="12"/>
      <w:bookmarkEnd w:id="12"/>
      <w:r w:rsidDel="00000000" w:rsidR="00000000" w:rsidRPr="00000000">
        <w:rPr>
          <w:rFonts w:ascii="Arial" w:cs="Arial" w:eastAsia="Arial" w:hAnsi="Arial"/>
          <w:color w:val="000000"/>
          <w:sz w:val="21"/>
          <w:szCs w:val="21"/>
          <w:rtl w:val="0"/>
        </w:rPr>
        <w:t xml:space="preserve">Smlouva se uzavírá na dobu neurčitou</w:t>
      </w:r>
      <w:r w:rsidDel="00000000" w:rsidR="00000000" w:rsidRPr="00000000">
        <w:rPr>
          <w:rFonts w:ascii="Arial" w:cs="Arial" w:eastAsia="Arial" w:hAnsi="Arial"/>
          <w:rtl w:val="0"/>
        </w:rPr>
        <w:t xml:space="preserve"> a</w:t>
      </w:r>
      <w:r w:rsidDel="00000000" w:rsidR="00000000" w:rsidRPr="00000000">
        <w:rPr>
          <w:rFonts w:ascii="Arial" w:cs="Arial" w:eastAsia="Arial" w:hAnsi="Arial"/>
          <w:color w:val="000000"/>
          <w:sz w:val="21"/>
          <w:szCs w:val="21"/>
          <w:rtl w:val="0"/>
        </w:rPr>
        <w:t xml:space="preserve"> lze</w:t>
      </w:r>
      <w:r w:rsidDel="00000000" w:rsidR="00000000" w:rsidRPr="00000000">
        <w:rPr>
          <w:rFonts w:ascii="Arial" w:cs="Arial" w:eastAsia="Arial" w:hAnsi="Arial"/>
          <w:rtl w:val="0"/>
        </w:rPr>
        <w:t xml:space="preserve"> ji</w:t>
      </w:r>
      <w:r w:rsidDel="00000000" w:rsidR="00000000" w:rsidRPr="00000000">
        <w:rPr>
          <w:rFonts w:ascii="Arial" w:cs="Arial" w:eastAsia="Arial" w:hAnsi="Arial"/>
          <w:color w:val="000000"/>
          <w:sz w:val="21"/>
          <w:szCs w:val="21"/>
          <w:rtl w:val="0"/>
        </w:rPr>
        <w:t xml:space="preserve"> ukončit písemnou dohodou Smluvních stran</w:t>
      </w:r>
      <w:r w:rsidDel="00000000" w:rsidR="00000000" w:rsidRPr="00000000">
        <w:rPr>
          <w:rFonts w:ascii="Arial" w:cs="Arial" w:eastAsia="Arial" w:hAnsi="Arial"/>
          <w:rtl w:val="0"/>
        </w:rPr>
        <w:t xml:space="preserve"> nebo </w:t>
      </w:r>
      <w:r w:rsidDel="00000000" w:rsidR="00000000" w:rsidRPr="00000000">
        <w:rPr>
          <w:rFonts w:ascii="Arial" w:cs="Arial" w:eastAsia="Arial" w:hAnsi="Arial"/>
          <w:color w:val="000000"/>
          <w:sz w:val="21"/>
          <w:szCs w:val="21"/>
          <w:rtl w:val="0"/>
        </w:rPr>
        <w:t xml:space="preserve">písemnou výpovědí jedné ze Smluvních stran bez udání důvodu</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26in1rg" w:id="13"/>
      <w:bookmarkEnd w:id="13"/>
      <w:r w:rsidDel="00000000" w:rsidR="00000000" w:rsidRPr="00000000">
        <w:rPr>
          <w:rFonts w:ascii="Arial" w:cs="Arial" w:eastAsia="Arial" w:hAnsi="Arial"/>
          <w:color w:val="000000"/>
          <w:sz w:val="21"/>
          <w:szCs w:val="21"/>
          <w:rtl w:val="0"/>
        </w:rPr>
        <w:t xml:space="preserve">Výpovědní doba činí tři (3) měsíce a začíná běžet první den kalendářního měsíce následujícího po doručení výpovědi druhé Smluvní straně.</w:t>
      </w:r>
      <w:r w:rsidDel="00000000" w:rsidR="00000000" w:rsidRPr="00000000">
        <w:rPr>
          <w:rtl w:val="0"/>
        </w:rPr>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4i7ojhp" w:id="14"/>
      <w:bookmarkEnd w:id="14"/>
      <w:r w:rsidDel="00000000" w:rsidR="00000000" w:rsidRPr="00000000">
        <w:rPr>
          <w:rFonts w:ascii="Arial" w:cs="Arial" w:eastAsia="Arial" w:hAnsi="Arial"/>
          <w:color w:val="000000"/>
          <w:sz w:val="21"/>
          <w:szCs w:val="21"/>
          <w:rtl w:val="0"/>
        </w:rPr>
        <w:t xml:space="preserve">Nejpozději k poslednímu dni výpovědní doby dle čl. 5.4 této Smlouvy je Provozovatel Média povinen vyrovnat veškeré své závazky vůči SPIR.</w:t>
      </w:r>
      <w:r w:rsidDel="00000000" w:rsidR="00000000" w:rsidRPr="00000000">
        <w:rPr>
          <w:rtl w:val="0"/>
        </w:rPr>
      </w:r>
    </w:p>
    <w:p w:rsidR="00000000" w:rsidDel="00000000" w:rsidP="00000000" w:rsidRDefault="00000000" w:rsidRPr="00000000" w14:paraId="00000038">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rFonts w:ascii="Arial" w:cs="Arial" w:eastAsia="Arial" w:hAnsi="Arial"/>
          <w:b w:val="1"/>
          <w:smallCaps w:val="1"/>
          <w:color w:val="000000"/>
          <w:sz w:val="21"/>
          <w:szCs w:val="21"/>
          <w:rtl w:val="0"/>
        </w:rPr>
        <w:t xml:space="preserve">změny příloh smlouvy</w:t>
      </w:r>
      <w:r w:rsidDel="00000000" w:rsidR="00000000" w:rsidRPr="00000000">
        <w:rPr>
          <w:rtl w:val="0"/>
        </w:rPr>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lnxbz9" w:id="15"/>
      <w:bookmarkEnd w:id="15"/>
      <w:r w:rsidDel="00000000" w:rsidR="00000000" w:rsidRPr="00000000">
        <w:rPr>
          <w:rFonts w:ascii="Arial" w:cs="Arial" w:eastAsia="Arial" w:hAnsi="Arial"/>
          <w:color w:val="000000"/>
          <w:sz w:val="21"/>
          <w:szCs w:val="21"/>
          <w:rtl w:val="0"/>
        </w:rPr>
        <w:t xml:space="preserve">SPIR je oprávněn jednostranně měnit všechny přílohy této Smlouvy s výjimkou přílohy č. 2</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color w:val="000000"/>
          <w:sz w:val="21"/>
          <w:szCs w:val="21"/>
          <w:rtl w:val="0"/>
        </w:rPr>
        <w:t xml:space="preserve">, ledaže tato Smlouva či písemná dohoda Smluvních stran stanoví jinak, s tím, že každou takovou změnu musí SPIR písemně oznámit </w:t>
      </w:r>
      <w:r w:rsidDel="00000000" w:rsidR="00000000" w:rsidRPr="00000000">
        <w:rPr>
          <w:rFonts w:ascii="Arial" w:cs="Arial" w:eastAsia="Arial" w:hAnsi="Arial"/>
          <w:rtl w:val="0"/>
        </w:rPr>
        <w:t xml:space="preserve">Odběrateli</w:t>
      </w:r>
      <w:r w:rsidDel="00000000" w:rsidR="00000000" w:rsidRPr="00000000">
        <w:rPr>
          <w:rFonts w:ascii="Arial" w:cs="Arial" w:eastAsia="Arial" w:hAnsi="Arial"/>
          <w:color w:val="000000"/>
          <w:sz w:val="21"/>
          <w:szCs w:val="21"/>
          <w:rtl w:val="0"/>
        </w:rPr>
        <w:t xml:space="preserve"> nejméně dva (2) kalendářní měsíce před účinností takové změny. V případě nesouhlasu s takovou změnou má </w:t>
      </w:r>
      <w:r w:rsidDel="00000000" w:rsidR="00000000" w:rsidRPr="00000000">
        <w:rPr>
          <w:rFonts w:ascii="Arial" w:cs="Arial" w:eastAsia="Arial" w:hAnsi="Arial"/>
          <w:rtl w:val="0"/>
        </w:rPr>
        <w:t xml:space="preserve">Odběratel </w:t>
      </w:r>
      <w:r w:rsidDel="00000000" w:rsidR="00000000" w:rsidRPr="00000000">
        <w:rPr>
          <w:rFonts w:ascii="Arial" w:cs="Arial" w:eastAsia="Arial" w:hAnsi="Arial"/>
          <w:color w:val="000000"/>
          <w:sz w:val="21"/>
          <w:szCs w:val="21"/>
          <w:rtl w:val="0"/>
        </w:rPr>
        <w:t xml:space="preserve">právo Smlouvu vypovědět s okamžitou účinností, a to ve lhůtě třiceti (30) dnů ode dne doručení oznámení o změně ze strany SPIR.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color w:val="000000"/>
          <w:sz w:val="21"/>
          <w:szCs w:val="21"/>
          <w:rtl w:val="0"/>
        </w:rPr>
        <w:t xml:space="preserve">okud tak Odběratel do 30 dnů neučiní, platí, že se změnami souhlasil a nové přílohy tak tvoří závazný obsah Smlouvy. </w:t>
      </w:r>
      <w:r w:rsidDel="00000000" w:rsidR="00000000" w:rsidRPr="00000000">
        <w:rPr>
          <w:rFonts w:ascii="Arial" w:cs="Arial" w:eastAsia="Arial" w:hAnsi="Arial"/>
          <w:sz w:val="21"/>
          <w:szCs w:val="21"/>
          <w:rtl w:val="0"/>
        </w:rPr>
        <w:t xml:space="preserve">Pokud nebude v písemné výpovědi </w:t>
      </w:r>
      <w:r w:rsidDel="00000000" w:rsidR="00000000" w:rsidRPr="00000000">
        <w:rPr>
          <w:rFonts w:ascii="Arial" w:cs="Arial" w:eastAsia="Arial" w:hAnsi="Arial"/>
          <w:rtl w:val="0"/>
        </w:rPr>
        <w:t xml:space="preserve">Odběratele </w:t>
      </w:r>
      <w:r w:rsidDel="00000000" w:rsidR="00000000" w:rsidRPr="00000000">
        <w:rPr>
          <w:rFonts w:ascii="Arial" w:cs="Arial" w:eastAsia="Arial" w:hAnsi="Arial"/>
          <w:sz w:val="21"/>
          <w:szCs w:val="21"/>
          <w:rtl w:val="0"/>
        </w:rPr>
        <w:t xml:space="preserve">uvedeno pozdější datum, je výpověď účinná okamžikem jejího doručení SPIR. </w:t>
      </w:r>
      <w:r w:rsidDel="00000000" w:rsidR="00000000" w:rsidRPr="00000000">
        <w:rPr>
          <w:rFonts w:ascii="Arial" w:cs="Arial" w:eastAsia="Arial" w:hAnsi="Arial"/>
          <w:color w:val="000000"/>
          <w:sz w:val="21"/>
          <w:szCs w:val="21"/>
          <w:rtl w:val="0"/>
        </w:rPr>
        <w:t xml:space="preserve">Nové znění takového dokumentu bude zveřejněno vždy také na webových stránkách </w:t>
      </w:r>
      <w:hyperlink r:id="rId9">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w:t>
      </w:r>
      <w:r w:rsidDel="00000000" w:rsidR="00000000" w:rsidRPr="00000000">
        <w:rPr>
          <w:rtl w:val="0"/>
        </w:rPr>
      </w:r>
    </w:p>
    <w:p w:rsidR="00000000" w:rsidDel="00000000" w:rsidP="00000000" w:rsidRDefault="00000000" w:rsidRPr="00000000" w14:paraId="0000003A">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rFonts w:ascii="Arial" w:cs="Arial" w:eastAsia="Arial" w:hAnsi="Arial"/>
          <w:b w:val="1"/>
          <w:smallCaps w:val="1"/>
          <w:sz w:val="21"/>
          <w:szCs w:val="21"/>
          <w:rtl w:val="0"/>
        </w:rPr>
        <w:t xml:space="preserve">S</w:t>
      </w:r>
      <w:r w:rsidDel="00000000" w:rsidR="00000000" w:rsidRPr="00000000">
        <w:rPr>
          <w:rFonts w:ascii="Arial" w:cs="Arial" w:eastAsia="Arial" w:hAnsi="Arial"/>
          <w:b w:val="1"/>
          <w:smallCaps w:val="1"/>
          <w:color w:val="000000"/>
          <w:sz w:val="21"/>
          <w:szCs w:val="21"/>
          <w:rtl w:val="0"/>
        </w:rPr>
        <w:t xml:space="preserve">mluvní pokuty a jiné sankce</w:t>
      </w:r>
      <w:r w:rsidDel="00000000" w:rsidR="00000000" w:rsidRPr="00000000">
        <w:rPr>
          <w:rtl w:val="0"/>
        </w:rPr>
      </w:r>
    </w:p>
    <w:p w:rsidR="00000000" w:rsidDel="00000000" w:rsidP="00000000" w:rsidRDefault="00000000" w:rsidRPr="00000000" w14:paraId="0000003B">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w4jbekcoqk7p" w:id="16"/>
      <w:bookmarkEnd w:id="16"/>
      <w:r w:rsidDel="00000000" w:rsidR="00000000" w:rsidRPr="00000000">
        <w:rPr>
          <w:rFonts w:ascii="Arial" w:cs="Arial" w:eastAsia="Arial" w:hAnsi="Arial"/>
          <w:color w:val="000000"/>
          <w:sz w:val="21"/>
          <w:szCs w:val="21"/>
          <w:rtl w:val="0"/>
        </w:rPr>
        <w:t xml:space="preserve">Při porušení povinnosti </w:t>
      </w:r>
      <w:r w:rsidDel="00000000" w:rsidR="00000000" w:rsidRPr="00000000">
        <w:rPr>
          <w:rFonts w:ascii="Arial" w:cs="Arial" w:eastAsia="Arial" w:hAnsi="Arial"/>
          <w:rtl w:val="0"/>
        </w:rPr>
        <w:t xml:space="preserve">Odběratele</w:t>
      </w:r>
      <w:r w:rsidDel="00000000" w:rsidR="00000000" w:rsidRPr="00000000">
        <w:rPr>
          <w:rFonts w:ascii="Arial" w:cs="Arial" w:eastAsia="Arial" w:hAnsi="Arial"/>
          <w:color w:val="000000"/>
          <w:sz w:val="21"/>
          <w:szCs w:val="21"/>
          <w:rtl w:val="0"/>
        </w:rPr>
        <w:t xml:space="preserve"> dle Smlouvy či některé z jejích příloh si Smluvní strany sjednaly pro každý jednotlivý případ takového porušení smluvní pokutu následovně.</w:t>
      </w:r>
      <w:r w:rsidDel="00000000" w:rsidR="00000000" w:rsidRPr="00000000">
        <w:rPr>
          <w:rtl w:val="0"/>
        </w:rPr>
      </w:r>
    </w:p>
    <w:p w:rsidR="00000000" w:rsidDel="00000000" w:rsidP="00000000" w:rsidRDefault="00000000" w:rsidRPr="00000000" w14:paraId="0000003C">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pPr>
      <w:r w:rsidDel="00000000" w:rsidR="00000000" w:rsidRPr="00000000">
        <w:rPr>
          <w:rFonts w:ascii="Arial" w:cs="Arial" w:eastAsia="Arial" w:hAnsi="Arial"/>
          <w:color w:val="000000"/>
          <w:sz w:val="21"/>
          <w:szCs w:val="21"/>
          <w:rtl w:val="0"/>
        </w:rPr>
        <w:t xml:space="preserve">Při porušení povinnosti stanovené v čl. 5.5 Obchodních podmínek má SPIR nárok na smluvní pokutu ve výši 50.000,- Kč </w:t>
      </w:r>
      <w:r w:rsidDel="00000000" w:rsidR="00000000" w:rsidRPr="00000000">
        <w:rPr>
          <w:rFonts w:ascii="Arial" w:cs="Arial" w:eastAsia="Arial" w:hAnsi="Arial"/>
          <w:sz w:val="21"/>
          <w:szCs w:val="21"/>
          <w:rtl w:val="0"/>
        </w:rPr>
        <w:t xml:space="preserve">z</w:t>
      </w:r>
      <w:r w:rsidDel="00000000" w:rsidR="00000000" w:rsidRPr="00000000">
        <w:rPr>
          <w:rFonts w:ascii="Arial" w:cs="Arial" w:eastAsia="Arial" w:hAnsi="Arial"/>
          <w:color w:val="000000"/>
          <w:sz w:val="21"/>
          <w:szCs w:val="21"/>
          <w:rtl w:val="0"/>
        </w:rPr>
        <w:t xml:space="preserve">a každý jeden prokázaný případ porušení.</w:t>
      </w:r>
      <w:r w:rsidDel="00000000" w:rsidR="00000000" w:rsidRPr="00000000">
        <w:rPr>
          <w:rtl w:val="0"/>
        </w:rPr>
      </w:r>
    </w:p>
    <w:p w:rsidR="00000000" w:rsidDel="00000000" w:rsidP="00000000" w:rsidRDefault="00000000" w:rsidRPr="00000000" w14:paraId="0000003D">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pPr>
      <w:r w:rsidDel="00000000" w:rsidR="00000000" w:rsidRPr="00000000">
        <w:rPr>
          <w:rFonts w:ascii="Arial" w:cs="Arial" w:eastAsia="Arial" w:hAnsi="Arial"/>
          <w:color w:val="000000"/>
          <w:sz w:val="21"/>
          <w:szCs w:val="21"/>
          <w:rtl w:val="0"/>
        </w:rPr>
        <w:t xml:space="preserve">Při porušení povinnosti stanovené v čl. 7 Obchodních Podmínek má Smluvní strana, která tuto povinnost neporušila vůči Smluvní straně, která tuto povinnost porušila, nárok na smluvní pokutu ve výši 50.000,- Kč za každý jeden prokázaný případ porušení.</w:t>
      </w:r>
      <w:r w:rsidDel="00000000" w:rsidR="00000000" w:rsidRPr="00000000">
        <w:rPr>
          <w:rtl w:val="0"/>
        </w:rPr>
      </w:r>
    </w:p>
    <w:p w:rsidR="00000000" w:rsidDel="00000000" w:rsidP="00000000" w:rsidRDefault="00000000" w:rsidRPr="00000000" w14:paraId="0000003E">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Výše uvedené smluvní pokuty jsou splatné na základě písemné výzvy oprávněné Smluvní strany nejpozději do deseti (10) dnů ode dne doručené dané výzvy. Zaplacením smluvní pokuty není dotčeno právo oprávněné Smluvní strany na náhradu újmy (ať už majetkové či nemajetkové).</w:t>
      </w:r>
      <w:r w:rsidDel="00000000" w:rsidR="00000000" w:rsidRPr="00000000">
        <w:rPr>
          <w:rtl w:val="0"/>
        </w:rPr>
      </w:r>
    </w:p>
    <w:p w:rsidR="00000000" w:rsidDel="00000000" w:rsidP="00000000" w:rsidRDefault="00000000" w:rsidRPr="00000000" w14:paraId="0000003F">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rtl w:val="0"/>
        </w:rPr>
        <w:t xml:space="preserve">SPIR</w:t>
      </w:r>
      <w:r w:rsidDel="00000000" w:rsidR="00000000" w:rsidRPr="00000000">
        <w:rPr>
          <w:rFonts w:ascii="Arial" w:cs="Arial" w:eastAsia="Arial" w:hAnsi="Arial"/>
          <w:color w:val="000000"/>
          <w:sz w:val="21"/>
          <w:szCs w:val="21"/>
          <w:rtl w:val="0"/>
        </w:rPr>
        <w:t xml:space="preserve"> je oprávněn neplnit povinnost dle čl. 2.1.1(</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sz w:val="21"/>
          <w:szCs w:val="21"/>
          <w:rtl w:val="0"/>
        </w:rPr>
        <w:t xml:space="preserve"> Smlouvy, tj. nepředávat Výsledky Výzkumu v případě, že je</w:t>
      </w:r>
      <w:r w:rsidDel="00000000" w:rsidR="00000000" w:rsidRPr="00000000">
        <w:rPr>
          <w:rFonts w:ascii="Arial" w:cs="Arial" w:eastAsia="Arial" w:hAnsi="Arial"/>
          <w:rtl w:val="0"/>
        </w:rPr>
        <w:t xml:space="preserve"> Odběratel</w:t>
      </w:r>
      <w:r w:rsidDel="00000000" w:rsidR="00000000" w:rsidRPr="00000000">
        <w:rPr>
          <w:rFonts w:ascii="Arial" w:cs="Arial" w:eastAsia="Arial" w:hAnsi="Arial"/>
          <w:color w:val="000000"/>
          <w:sz w:val="21"/>
          <w:szCs w:val="21"/>
          <w:rtl w:val="0"/>
        </w:rPr>
        <w:t xml:space="preserve"> v prodlení s úhradou dvou a více splatných faktur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sz w:val="21"/>
          <w:szCs w:val="21"/>
          <w:rtl w:val="0"/>
        </w:rPr>
        <w:t xml:space="preserve">Pro vyloučení pochybností se Smluvní strany dohodly, že nepředávání Výsledků Výzkumu nebude považováno za porušení povinnosti </w:t>
      </w:r>
      <w:r w:rsidDel="00000000" w:rsidR="00000000" w:rsidRPr="00000000">
        <w:rPr>
          <w:rFonts w:ascii="Arial" w:cs="Arial" w:eastAsia="Arial" w:hAnsi="Arial"/>
          <w:rtl w:val="0"/>
        </w:rPr>
        <w:t xml:space="preserve">SPIR</w:t>
      </w:r>
      <w:r w:rsidDel="00000000" w:rsidR="00000000" w:rsidRPr="00000000">
        <w:rPr>
          <w:rFonts w:ascii="Arial" w:cs="Arial" w:eastAsia="Arial" w:hAnsi="Arial"/>
          <w:color w:val="000000"/>
          <w:sz w:val="21"/>
          <w:szCs w:val="21"/>
          <w:rtl w:val="0"/>
        </w:rPr>
        <w:t xml:space="preserve"> dodávat Výsledky Výzkumu řádně a včas a Odběratel je i v době nepředávání Výsledků Výzkumu povinen platit cenu dle čl. 3 Smlouvy.</w:t>
      </w:r>
      <w:r w:rsidDel="00000000" w:rsidR="00000000" w:rsidRPr="00000000">
        <w:rPr>
          <w:rtl w:val="0"/>
        </w:rPr>
      </w:r>
    </w:p>
    <w:p w:rsidR="00000000" w:rsidDel="00000000" w:rsidP="00000000" w:rsidRDefault="00000000" w:rsidRPr="00000000" w14:paraId="00000040">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rFonts w:ascii="Arial" w:cs="Arial" w:eastAsia="Arial" w:hAnsi="Arial"/>
          <w:b w:val="1"/>
          <w:smallCaps w:val="1"/>
          <w:color w:val="000000"/>
          <w:sz w:val="21"/>
          <w:szCs w:val="21"/>
          <w:rtl w:val="0"/>
        </w:rPr>
        <w:t xml:space="preserve">Závěrečná ustanovení</w:t>
      </w:r>
      <w:r w:rsidDel="00000000" w:rsidR="00000000" w:rsidRPr="00000000">
        <w:rPr>
          <w:rtl w:val="0"/>
        </w:rPr>
      </w:r>
    </w:p>
    <w:p w:rsidR="00000000" w:rsidDel="00000000" w:rsidP="00000000" w:rsidRDefault="00000000" w:rsidRPr="00000000" w14:paraId="00000041">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35nkun2" w:id="17"/>
      <w:bookmarkEnd w:id="17"/>
      <w:r w:rsidDel="00000000" w:rsidR="00000000" w:rsidRPr="00000000">
        <w:rPr>
          <w:rFonts w:ascii="Arial" w:cs="Arial" w:eastAsia="Arial" w:hAnsi="Arial"/>
          <w:color w:val="000000"/>
          <w:sz w:val="21"/>
          <w:szCs w:val="21"/>
          <w:rtl w:val="0"/>
        </w:rPr>
        <w:t xml:space="preserve">Smluvní vztah mezi SPIR a </w:t>
      </w:r>
      <w:r w:rsidDel="00000000" w:rsidR="00000000" w:rsidRPr="00000000">
        <w:rPr>
          <w:rFonts w:ascii="Arial" w:cs="Arial" w:eastAsia="Arial" w:hAnsi="Arial"/>
          <w:sz w:val="21"/>
          <w:szCs w:val="21"/>
          <w:rtl w:val="0"/>
        </w:rPr>
        <w:t xml:space="preserve">Odběratelem </w:t>
      </w:r>
      <w:r w:rsidDel="00000000" w:rsidR="00000000" w:rsidRPr="00000000">
        <w:rPr>
          <w:rFonts w:ascii="Arial" w:cs="Arial" w:eastAsia="Arial" w:hAnsi="Arial"/>
          <w:color w:val="000000"/>
          <w:sz w:val="21"/>
          <w:szCs w:val="21"/>
          <w:rtl w:val="0"/>
        </w:rPr>
        <w:t xml:space="preserve">se řídí a bude vykládán v souladu s právním řádem České republiky. Vztah založený touto Smlouvou se řídí Občanským zákoníkem.</w:t>
      </w:r>
      <w:r w:rsidDel="00000000" w:rsidR="00000000" w:rsidRPr="00000000">
        <w:rPr>
          <w:rtl w:val="0"/>
        </w:rPr>
      </w:r>
    </w:p>
    <w:p w:rsidR="00000000" w:rsidDel="00000000" w:rsidP="00000000" w:rsidRDefault="00000000" w:rsidRPr="00000000" w14:paraId="00000042">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bookmarkStart w:colFirst="0" w:colLast="0" w:name="_heading=h.2xcytpi" w:id="18"/>
      <w:bookmarkEnd w:id="18"/>
      <w:r w:rsidDel="00000000" w:rsidR="00000000" w:rsidRPr="00000000">
        <w:rPr>
          <w:rFonts w:ascii="Arial" w:cs="Arial" w:eastAsia="Arial" w:hAnsi="Arial"/>
          <w:color w:val="000000"/>
          <w:sz w:val="21"/>
          <w:szCs w:val="21"/>
          <w:rtl w:val="0"/>
        </w:rPr>
        <w:t xml:space="preserve">Jakékoli písemné sdělení Smluvních stran na základě nebo v souvislosti se Smlouvou musí být adresováno kontaktní osobě příslušné smluvní strany uvedené v čl. 4 Smlouvy/resp. čl. 8 Obchodních podmínek a bude považováno za doručené v případě (a) zaslání e-mailem po obdržení potvrzení o doručení adresátovi, (b) osobního doručení nebo doručení kurýrní službou okamžikem jeho doručení nebo odmítnutí přijetí Smluvní stranou, které jsou zaslány, nebo (c) doručení doporučeným dopisem v den uvedený v potvrzení o doručení nebo uplynutím lhůty k jeho vyzvednutí.</w:t>
      </w:r>
      <w:r w:rsidDel="00000000" w:rsidR="00000000" w:rsidRPr="00000000">
        <w:rPr>
          <w:rtl w:val="0"/>
        </w:rPr>
      </w:r>
    </w:p>
    <w:p w:rsidR="00000000" w:rsidDel="00000000" w:rsidP="00000000" w:rsidRDefault="00000000" w:rsidRPr="00000000" w14:paraId="00000043">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Smluvní strany se dohodly, že změnu adresy k doručování pro účely Smlouvy jsou oprávněny provést písemně či e-mailovým oznámením doručeným druhé Smluvní straně.</w:t>
      </w:r>
      <w:r w:rsidDel="00000000" w:rsidR="00000000" w:rsidRPr="00000000">
        <w:rPr>
          <w:rtl w:val="0"/>
        </w:rPr>
      </w:r>
    </w:p>
    <w:p w:rsidR="00000000" w:rsidDel="00000000" w:rsidP="00000000" w:rsidRDefault="00000000" w:rsidRPr="00000000" w14:paraId="00000044">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Bez předchozího písemného souhlasu SPIR nemůže </w:t>
      </w:r>
      <w:r w:rsidDel="00000000" w:rsidR="00000000" w:rsidRPr="00000000">
        <w:rPr>
          <w:rFonts w:ascii="Arial" w:cs="Arial" w:eastAsia="Arial" w:hAnsi="Arial"/>
          <w:rtl w:val="0"/>
        </w:rPr>
        <w:t xml:space="preserve">Odběratel</w:t>
      </w:r>
      <w:r w:rsidDel="00000000" w:rsidR="00000000" w:rsidRPr="00000000">
        <w:rPr>
          <w:rFonts w:ascii="Arial" w:cs="Arial" w:eastAsia="Arial" w:hAnsi="Arial"/>
          <w:color w:val="000000"/>
          <w:sz w:val="21"/>
          <w:szCs w:val="21"/>
          <w:rtl w:val="0"/>
        </w:rPr>
        <w:t xml:space="preserve"> postoupit nebo převést Smlouvu jako celek nebo jakoukoliv její část, co se týče práv nebo povinností z ní vyplývajících, na třetí osobu. Toto omezení se nevztahuje na převod závodu nebo jeho části či přeměny společností.</w:t>
      </w:r>
      <w:r w:rsidDel="00000000" w:rsidR="00000000" w:rsidRPr="00000000">
        <w:rPr>
          <w:rtl w:val="0"/>
        </w:rPr>
      </w:r>
    </w:p>
    <w:p w:rsidR="00000000" w:rsidDel="00000000" w:rsidP="00000000" w:rsidRDefault="00000000" w:rsidRPr="00000000" w14:paraId="00000045">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Smluvní strany výslovně vylučují použití ust. § 1799 a § 1800 občanského zákoníku.</w:t>
      </w:r>
      <w:r w:rsidDel="00000000" w:rsidR="00000000" w:rsidRPr="00000000">
        <w:rPr>
          <w:rtl w:val="0"/>
        </w:rPr>
      </w:r>
    </w:p>
    <w:p w:rsidR="00000000" w:rsidDel="00000000" w:rsidP="00000000" w:rsidRDefault="00000000" w:rsidRPr="00000000" w14:paraId="00000046">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Smluvní strany se zavazují, že případné spory vzniklé ze Smlouvy budou přednostně řešit smírnou cestou. Pokud tímto způsobem nebudou spory vyřešeny, je kterákoliv Smluvní strana oprávněna obrátit se na věcně a místně příslušný soud.</w:t>
      </w:r>
      <w:r w:rsidDel="00000000" w:rsidR="00000000" w:rsidRPr="00000000">
        <w:rPr>
          <w:rtl w:val="0"/>
        </w:rPr>
      </w:r>
    </w:p>
    <w:p w:rsidR="00000000" w:rsidDel="00000000" w:rsidP="00000000" w:rsidRDefault="00000000" w:rsidRPr="00000000" w14:paraId="00000047">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V případě, že se kterékoliv ustanovení Smlouvy či jejích příloh stane neplatné nebo nevymahatelné, nebude to mít vliv na platnost ustanovení ostatních.</w:t>
      </w:r>
      <w:r w:rsidDel="00000000" w:rsidR="00000000" w:rsidRPr="00000000">
        <w:rPr>
          <w:rtl w:val="0"/>
        </w:rPr>
      </w:r>
    </w:p>
    <w:p w:rsidR="00000000" w:rsidDel="00000000" w:rsidP="00000000" w:rsidRDefault="00000000" w:rsidRPr="00000000" w14:paraId="00000048">
      <w:pPr>
        <w:numPr>
          <w:ilvl w:val="1"/>
          <w:numId w:val="3"/>
        </w:numPr>
        <w:pBdr>
          <w:top w:space="0" w:sz="0" w:val="nil"/>
          <w:left w:space="0" w:sz="0" w:val="nil"/>
          <w:bottom w:space="0" w:sz="0" w:val="nil"/>
          <w:right w:space="0" w:sz="0" w:val="nil"/>
          <w:between w:space="0" w:sz="0" w:val="nil"/>
        </w:pBdr>
        <w:spacing w:after="60" w:lineRule="auto"/>
        <w:ind w:left="720" w:hanging="720"/>
        <w:jc w:val="both"/>
        <w:rPr/>
      </w:pPr>
      <w:r w:rsidDel="00000000" w:rsidR="00000000" w:rsidRPr="00000000">
        <w:rPr>
          <w:rFonts w:ascii="Arial" w:cs="Arial" w:eastAsia="Arial" w:hAnsi="Arial"/>
          <w:color w:val="000000"/>
          <w:sz w:val="21"/>
          <w:szCs w:val="21"/>
          <w:rtl w:val="0"/>
        </w:rPr>
        <w:t xml:space="preserve">Součástí této Smlouvy jsou následující přílohy ve své aktuální verzi zveřejněné na webové stránce </w:t>
      </w:r>
      <w:hyperlink r:id="rId10">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 Ke Smlouvě jsou přiloženy tyto přílohy ve verzi platné ke dni uzavření Smlouvy: </w:t>
      </w: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1260" w:hanging="540"/>
        <w:rPr/>
      </w:pPr>
      <w:bookmarkStart w:colFirst="0" w:colLast="0" w:name="_heading=h.1ksv4uv" w:id="19"/>
      <w:bookmarkEnd w:id="19"/>
      <w:r w:rsidDel="00000000" w:rsidR="00000000" w:rsidRPr="00000000">
        <w:rPr>
          <w:rFonts w:ascii="Arial" w:cs="Arial" w:eastAsia="Arial" w:hAnsi="Arial"/>
          <w:color w:val="000000"/>
          <w:sz w:val="21"/>
          <w:szCs w:val="21"/>
          <w:rtl w:val="0"/>
        </w:rPr>
        <w:t xml:space="preserve">Příloha č. 1 – Obchodní podmínky SPIR pro </w:t>
      </w:r>
      <w:r w:rsidDel="00000000" w:rsidR="00000000" w:rsidRPr="00000000">
        <w:rPr>
          <w:rFonts w:ascii="Arial" w:cs="Arial" w:eastAsia="Arial" w:hAnsi="Arial"/>
          <w:rtl w:val="0"/>
        </w:rPr>
        <w:t xml:space="preserve">poskytování výsledků</w:t>
      </w:r>
      <w:r w:rsidDel="00000000" w:rsidR="00000000" w:rsidRPr="00000000">
        <w:rPr>
          <w:rFonts w:ascii="Arial" w:cs="Arial" w:eastAsia="Arial" w:hAnsi="Arial"/>
          <w:color w:val="000000"/>
          <w:sz w:val="21"/>
          <w:szCs w:val="21"/>
          <w:rtl w:val="0"/>
        </w:rPr>
        <w:t xml:space="preserve"> výzkumu NetMonitor</w:t>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1260" w:hanging="540"/>
        <w:rPr/>
      </w:pPr>
      <w:bookmarkStart w:colFirst="0" w:colLast="0" w:name="_heading=h.44sinio" w:id="20"/>
      <w:bookmarkEnd w:id="20"/>
      <w:r w:rsidDel="00000000" w:rsidR="00000000" w:rsidRPr="00000000">
        <w:rPr>
          <w:rFonts w:ascii="Arial" w:cs="Arial" w:eastAsia="Arial" w:hAnsi="Arial"/>
          <w:color w:val="000000"/>
          <w:sz w:val="21"/>
          <w:szCs w:val="21"/>
          <w:rtl w:val="0"/>
        </w:rPr>
        <w:t xml:space="preserve">Příloha č. 2 – Rozsah dodávaných modulů Výsledků Výzkumu</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1260" w:hanging="540"/>
        <w:rPr/>
      </w:pPr>
      <w:bookmarkStart w:colFirst="0" w:colLast="0" w:name="_heading=h.2jxsxqh" w:id="21"/>
      <w:bookmarkEnd w:id="21"/>
      <w:r w:rsidDel="00000000" w:rsidR="00000000" w:rsidRPr="00000000">
        <w:rPr>
          <w:rFonts w:ascii="Arial" w:cs="Arial" w:eastAsia="Arial" w:hAnsi="Arial"/>
          <w:color w:val="000000"/>
          <w:sz w:val="21"/>
          <w:szCs w:val="21"/>
          <w:rtl w:val="0"/>
        </w:rPr>
        <w:t xml:space="preserve">Příloha č. 3 – Ceník</w:t>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ind w:left="1260" w:hanging="540"/>
        <w:rPr/>
      </w:pPr>
      <w:r w:rsidDel="00000000" w:rsidR="00000000" w:rsidRPr="00000000">
        <w:rPr>
          <w:rFonts w:ascii="Arial" w:cs="Arial" w:eastAsia="Arial" w:hAnsi="Arial"/>
          <w:color w:val="000000"/>
          <w:sz w:val="21"/>
          <w:szCs w:val="21"/>
          <w:rtl w:val="0"/>
        </w:rPr>
        <w:t xml:space="preserve">Příloha č. 4 – Metodika</w:t>
      </w: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ind w:left="1260" w:hanging="540"/>
        <w:rPr/>
      </w:pPr>
      <w:bookmarkStart w:colFirst="0" w:colLast="0" w:name="_heading=h.3o7alnk" w:id="22"/>
      <w:bookmarkEnd w:id="22"/>
      <w:r w:rsidDel="00000000" w:rsidR="00000000" w:rsidRPr="00000000">
        <w:rPr>
          <w:rFonts w:ascii="Arial" w:cs="Arial" w:eastAsia="Arial" w:hAnsi="Arial"/>
          <w:color w:val="000000"/>
          <w:sz w:val="21"/>
          <w:szCs w:val="21"/>
          <w:rtl w:val="0"/>
        </w:rPr>
        <w:t xml:space="preserve">Příloha č. 5 – Etický kodex NetMonitoru</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1260" w:hanging="540"/>
        <w:rPr/>
      </w:pPr>
      <w:r w:rsidDel="00000000" w:rsidR="00000000" w:rsidRPr="00000000">
        <w:rPr>
          <w:rFonts w:ascii="Arial" w:cs="Arial" w:eastAsia="Arial" w:hAnsi="Arial"/>
          <w:color w:val="000000"/>
          <w:sz w:val="21"/>
          <w:szCs w:val="21"/>
          <w:rtl w:val="0"/>
        </w:rPr>
        <w:t xml:space="preserve">Příloha č. 6 - Pravidla pro užití dat projektů SPIR</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1260" w:firstLine="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50">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Tato Smlouva byla vyhotovena ve dvou (2) stejnopisech s platností originálu, přičemž po jednom (1) z nich dostane každá Smluvní strana.</w:t>
      </w:r>
      <w:r w:rsidDel="00000000" w:rsidR="00000000" w:rsidRPr="00000000">
        <w:rPr>
          <w:rtl w:val="0"/>
        </w:rPr>
      </w:r>
    </w:p>
    <w:p w:rsidR="00000000" w:rsidDel="00000000" w:rsidP="00000000" w:rsidRDefault="00000000" w:rsidRPr="00000000" w14:paraId="00000051">
      <w:pPr>
        <w:numPr>
          <w:ilvl w:val="1"/>
          <w:numId w:val="3"/>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Fonts w:ascii="Arial" w:cs="Arial" w:eastAsia="Arial" w:hAnsi="Arial"/>
          <w:color w:val="000000"/>
          <w:sz w:val="21"/>
          <w:szCs w:val="21"/>
          <w:rtl w:val="0"/>
        </w:rPr>
        <w:t xml:space="preserve">Podpisem této Smlouvy </w:t>
      </w:r>
      <w:r w:rsidDel="00000000" w:rsidR="00000000" w:rsidRPr="00000000">
        <w:rPr>
          <w:rFonts w:ascii="Arial" w:cs="Arial" w:eastAsia="Arial" w:hAnsi="Arial"/>
          <w:rtl w:val="0"/>
        </w:rPr>
        <w:t xml:space="preserve">Odběratel </w:t>
      </w:r>
      <w:r w:rsidDel="00000000" w:rsidR="00000000" w:rsidRPr="00000000">
        <w:rPr>
          <w:rFonts w:ascii="Arial" w:cs="Arial" w:eastAsia="Arial" w:hAnsi="Arial"/>
          <w:color w:val="000000"/>
          <w:sz w:val="21"/>
          <w:szCs w:val="21"/>
          <w:rtl w:val="0"/>
        </w:rPr>
        <w:t xml:space="preserve">stvrzuje, že se se Smlouvou, Obchodními podmínkami, Ceníkem a všemi souvisejícími přílohami seznámil, že s těmito dokumenty souhlasí a že se je zavazuje dodržovat.</w:t>
      </w:r>
      <w:r w:rsidDel="00000000" w:rsidR="00000000" w:rsidRPr="00000000">
        <w:rPr>
          <w:rtl w:val="0"/>
        </w:rPr>
      </w:r>
    </w:p>
    <w:p w:rsidR="00000000" w:rsidDel="00000000" w:rsidP="00000000" w:rsidRDefault="00000000" w:rsidRPr="00000000" w14:paraId="00000052">
      <w:pPr>
        <w:rPr>
          <w:rFonts w:ascii="Arial" w:cs="Arial" w:eastAsia="Arial" w:hAnsi="Arial"/>
          <w:sz w:val="21"/>
          <w:szCs w:val="21"/>
        </w:rPr>
      </w:pPr>
      <w:r w:rsidDel="00000000" w:rsidR="00000000" w:rsidRPr="00000000">
        <w:rPr>
          <w:rtl w:val="0"/>
        </w:rPr>
      </w:r>
    </w:p>
    <w:tbl>
      <w:tblPr>
        <w:tblStyle w:val="Table1"/>
        <w:tblpPr w:leftFromText="180" w:rightFromText="180" w:topFromText="180" w:bottomFromText="180" w:vertAnchor="text" w:horzAnchor="text" w:tblpX="68.0000000000004" w:tblpY="1097.1894531250018"/>
        <w:tblW w:w="9072.0" w:type="dxa"/>
        <w:jc w:val="left"/>
        <w:tblLayout w:type="fixed"/>
        <w:tblLook w:val="0000"/>
      </w:tblPr>
      <w:tblGrid>
        <w:gridCol w:w="4536"/>
        <w:gridCol w:w="4536"/>
        <w:tblGridChange w:id="0">
          <w:tblGrid>
            <w:gridCol w:w="4536"/>
            <w:gridCol w:w="4536"/>
          </w:tblGrid>
        </w:tblGridChange>
      </w:tblGrid>
      <w:tr>
        <w:trPr>
          <w:cantSplit w:val="0"/>
          <w:trHeight w:val="851" w:hRule="atLeast"/>
          <w:tblHeader w:val="0"/>
        </w:trPr>
        <w:tc>
          <w:tcPr/>
          <w:p w:rsidR="00000000" w:rsidDel="00000000" w:rsidP="00000000" w:rsidRDefault="00000000" w:rsidRPr="00000000" w14:paraId="00000053">
            <w:pPr>
              <w:widowControl w:val="0"/>
              <w:spacing w:line="360" w:lineRule="auto"/>
              <w:jc w:val="both"/>
              <w:rPr>
                <w:rFonts w:ascii="Arial" w:cs="Arial" w:eastAsia="Arial" w:hAnsi="Arial"/>
                <w:b w:val="1"/>
                <w:sz w:val="21"/>
                <w:szCs w:val="21"/>
              </w:rPr>
            </w:pPr>
            <w:bookmarkStart w:colFirst="0" w:colLast="0" w:name="_heading=h.147n2zr" w:id="23"/>
            <w:bookmarkEnd w:id="23"/>
            <w:r w:rsidDel="00000000" w:rsidR="00000000" w:rsidRPr="00000000">
              <w:rPr>
                <w:rFonts w:ascii="Arial" w:cs="Arial" w:eastAsia="Arial" w:hAnsi="Arial"/>
                <w:sz w:val="21"/>
                <w:szCs w:val="21"/>
                <w:rtl w:val="0"/>
              </w:rPr>
              <w:t xml:space="preserve">za </w:t>
            </w:r>
            <w:r w:rsidDel="00000000" w:rsidR="00000000" w:rsidRPr="00000000">
              <w:rPr>
                <w:rFonts w:ascii="Arial" w:cs="Arial" w:eastAsia="Arial" w:hAnsi="Arial"/>
                <w:b w:val="1"/>
                <w:sz w:val="21"/>
                <w:szCs w:val="21"/>
                <w:rtl w:val="0"/>
              </w:rPr>
              <w:t xml:space="preserve">Sdružení pro internetový rozvoj v České republice, z.s.p.o. (ve zkratce "SPIR")</w:t>
            </w:r>
          </w:p>
          <w:p w:rsidR="00000000" w:rsidDel="00000000" w:rsidP="00000000" w:rsidRDefault="00000000" w:rsidRPr="00000000" w14:paraId="00000054">
            <w:pPr>
              <w:spacing w:line="360" w:lineRule="auto"/>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5">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56">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JMÉNO</w:t>
              <w:tab/>
              <w:t xml:space="preserve">_______________</w:t>
            </w:r>
          </w:p>
          <w:p w:rsidR="00000000" w:rsidDel="00000000" w:rsidP="00000000" w:rsidRDefault="00000000" w:rsidRPr="00000000" w14:paraId="00000057">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FUNKCE</w:t>
              <w:tab/>
              <w:t xml:space="preserve">_______________</w:t>
            </w:r>
          </w:p>
          <w:p w:rsidR="00000000" w:rsidDel="00000000" w:rsidP="00000000" w:rsidRDefault="00000000" w:rsidRPr="00000000" w14:paraId="00000058">
            <w:pPr>
              <w:spacing w:line="360" w:lineRule="auto"/>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DATUM</w:t>
              <w:tab/>
              <w:t xml:space="preserve">_______________</w:t>
            </w:r>
            <w:r w:rsidDel="00000000" w:rsidR="00000000" w:rsidRPr="00000000">
              <w:rPr>
                <w:rtl w:val="0"/>
              </w:rPr>
            </w:r>
          </w:p>
        </w:tc>
        <w:tc>
          <w:tcPr/>
          <w:p w:rsidR="00000000" w:rsidDel="00000000" w:rsidP="00000000" w:rsidRDefault="00000000" w:rsidRPr="00000000" w14:paraId="00000059">
            <w:pPr>
              <w:widowControl w:val="0"/>
              <w:spacing w:line="360" w:lineRule="auto"/>
              <w:jc w:val="both"/>
              <w:rPr>
                <w:rFonts w:ascii="Arial" w:cs="Arial" w:eastAsia="Arial" w:hAnsi="Arial"/>
                <w:b w:val="1"/>
                <w:sz w:val="21"/>
                <w:szCs w:val="21"/>
                <w:highlight w:val="yellow"/>
              </w:rPr>
            </w:pPr>
            <w:r w:rsidDel="00000000" w:rsidR="00000000" w:rsidRPr="00000000">
              <w:rPr>
                <w:rFonts w:ascii="Arial" w:cs="Arial" w:eastAsia="Arial" w:hAnsi="Arial"/>
                <w:sz w:val="21"/>
                <w:szCs w:val="21"/>
                <w:highlight w:val="yellow"/>
                <w:rtl w:val="0"/>
              </w:rPr>
              <w:t xml:space="preserve">za </w:t>
            </w:r>
            <w:r w:rsidDel="00000000" w:rsidR="00000000" w:rsidRPr="00000000">
              <w:rPr>
                <w:rFonts w:ascii="Arial" w:cs="Arial" w:eastAsia="Arial" w:hAnsi="Arial"/>
                <w:b w:val="1"/>
                <w:sz w:val="21"/>
                <w:szCs w:val="21"/>
                <w:highlight w:val="yellow"/>
                <w:rtl w:val="0"/>
              </w:rPr>
              <w:t xml:space="preserve">Odběratele</w:t>
            </w:r>
          </w:p>
          <w:p w:rsidR="00000000" w:rsidDel="00000000" w:rsidP="00000000" w:rsidRDefault="00000000" w:rsidRPr="00000000" w14:paraId="0000005A">
            <w:pPr>
              <w:widowControl w:val="0"/>
              <w:spacing w:line="360" w:lineRule="auto"/>
              <w:jc w:val="both"/>
              <w:rPr>
                <w:rFonts w:ascii="Arial" w:cs="Arial" w:eastAsia="Arial" w:hAnsi="Arial"/>
                <w:sz w:val="21"/>
                <w:szCs w:val="21"/>
                <w:highlight w:val="yellow"/>
              </w:rPr>
            </w:pPr>
            <w:r w:rsidDel="00000000" w:rsidR="00000000" w:rsidRPr="00000000">
              <w:rPr>
                <w:rtl w:val="0"/>
              </w:rPr>
            </w:r>
          </w:p>
          <w:p w:rsidR="00000000" w:rsidDel="00000000" w:rsidP="00000000" w:rsidRDefault="00000000" w:rsidRPr="00000000" w14:paraId="0000005B">
            <w:pPr>
              <w:widowControl w:val="0"/>
              <w:spacing w:line="360" w:lineRule="auto"/>
              <w:jc w:val="both"/>
              <w:rPr>
                <w:rFonts w:ascii="Arial" w:cs="Arial" w:eastAsia="Arial" w:hAnsi="Arial"/>
                <w:sz w:val="21"/>
                <w:szCs w:val="21"/>
                <w:highlight w:val="yellow"/>
              </w:rPr>
            </w:pPr>
            <w:r w:rsidDel="00000000" w:rsidR="00000000" w:rsidRPr="00000000">
              <w:rPr>
                <w:rtl w:val="0"/>
              </w:rPr>
            </w:r>
          </w:p>
          <w:p w:rsidR="00000000" w:rsidDel="00000000" w:rsidP="00000000" w:rsidRDefault="00000000" w:rsidRPr="00000000" w14:paraId="0000005C">
            <w:pPr>
              <w:widowControl w:val="0"/>
              <w:spacing w:line="360" w:lineRule="auto"/>
              <w:jc w:val="both"/>
              <w:rPr>
                <w:rFonts w:ascii="Arial" w:cs="Arial" w:eastAsia="Arial" w:hAnsi="Arial"/>
                <w:sz w:val="21"/>
                <w:szCs w:val="21"/>
                <w:highlight w:val="yellow"/>
              </w:rPr>
            </w:pPr>
            <w:r w:rsidDel="00000000" w:rsidR="00000000" w:rsidRPr="00000000">
              <w:rPr>
                <w:rFonts w:ascii="Arial" w:cs="Arial" w:eastAsia="Arial" w:hAnsi="Arial"/>
                <w:sz w:val="21"/>
                <w:szCs w:val="21"/>
                <w:highlight w:val="yellow"/>
                <w:rtl w:val="0"/>
              </w:rPr>
              <w:t xml:space="preserve">………………………………………….…</w:t>
            </w:r>
          </w:p>
          <w:p w:rsidR="00000000" w:rsidDel="00000000" w:rsidP="00000000" w:rsidRDefault="00000000" w:rsidRPr="00000000" w14:paraId="0000005D">
            <w:pPr>
              <w:widowControl w:val="0"/>
              <w:spacing w:line="360" w:lineRule="auto"/>
              <w:jc w:val="both"/>
              <w:rPr>
                <w:rFonts w:ascii="Arial" w:cs="Arial" w:eastAsia="Arial" w:hAnsi="Arial"/>
                <w:sz w:val="21"/>
                <w:szCs w:val="21"/>
                <w:highlight w:val="yellow"/>
              </w:rPr>
            </w:pPr>
            <w:r w:rsidDel="00000000" w:rsidR="00000000" w:rsidRPr="00000000">
              <w:rPr>
                <w:rFonts w:ascii="Arial" w:cs="Arial" w:eastAsia="Arial" w:hAnsi="Arial"/>
                <w:sz w:val="21"/>
                <w:szCs w:val="21"/>
                <w:highlight w:val="yellow"/>
                <w:rtl w:val="0"/>
              </w:rPr>
              <w:t xml:space="preserve">JMÉNO</w:t>
              <w:tab/>
              <w:t xml:space="preserve">_______________</w:t>
            </w:r>
          </w:p>
          <w:p w:rsidR="00000000" w:rsidDel="00000000" w:rsidP="00000000" w:rsidRDefault="00000000" w:rsidRPr="00000000" w14:paraId="0000005E">
            <w:pPr>
              <w:spacing w:line="360" w:lineRule="auto"/>
              <w:jc w:val="both"/>
              <w:rPr>
                <w:rFonts w:ascii="Arial" w:cs="Arial" w:eastAsia="Arial" w:hAnsi="Arial"/>
                <w:sz w:val="21"/>
                <w:szCs w:val="21"/>
                <w:highlight w:val="yellow"/>
              </w:rPr>
            </w:pPr>
            <w:r w:rsidDel="00000000" w:rsidR="00000000" w:rsidRPr="00000000">
              <w:rPr>
                <w:rFonts w:ascii="Arial" w:cs="Arial" w:eastAsia="Arial" w:hAnsi="Arial"/>
                <w:sz w:val="21"/>
                <w:szCs w:val="21"/>
                <w:highlight w:val="yellow"/>
                <w:rtl w:val="0"/>
              </w:rPr>
              <w:t xml:space="preserve">FUNKCE</w:t>
              <w:tab/>
              <w:t xml:space="preserve">_______________</w:t>
            </w:r>
          </w:p>
          <w:p w:rsidR="00000000" w:rsidDel="00000000" w:rsidP="00000000" w:rsidRDefault="00000000" w:rsidRPr="00000000" w14:paraId="0000005F">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highlight w:val="yellow"/>
                <w:rtl w:val="0"/>
              </w:rPr>
              <w:t xml:space="preserve">DATUM</w:t>
              <w:tab/>
              <w:t xml:space="preserve">_______________</w:t>
            </w:r>
            <w:r w:rsidDel="00000000" w:rsidR="00000000" w:rsidRPr="00000000">
              <w:rPr>
                <w:rtl w:val="0"/>
              </w:rPr>
            </w:r>
          </w:p>
          <w:p w:rsidR="00000000" w:rsidDel="00000000" w:rsidP="00000000" w:rsidRDefault="00000000" w:rsidRPr="00000000" w14:paraId="00000060">
            <w:pPr>
              <w:widowControl w:val="0"/>
              <w:spacing w:line="360" w:lineRule="auto"/>
              <w:jc w:val="both"/>
              <w:rPr>
                <w:rFonts w:ascii="Arial" w:cs="Arial" w:eastAsia="Arial" w:hAnsi="Arial"/>
                <w:b w:val="1"/>
                <w:sz w:val="21"/>
                <w:szCs w:val="21"/>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61">
            <w:pPr>
              <w:spacing w:line="360" w:lineRule="auto"/>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63">
            <w:pPr>
              <w:spacing w:line="360" w:lineRule="auto"/>
              <w:ind w:left="14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JMÉNO</w:t>
              <w:tab/>
              <w:t xml:space="preserve">_______________</w:t>
            </w:r>
          </w:p>
          <w:p w:rsidR="00000000" w:rsidDel="00000000" w:rsidP="00000000" w:rsidRDefault="00000000" w:rsidRPr="00000000" w14:paraId="00000064">
            <w:pPr>
              <w:spacing w:line="360" w:lineRule="auto"/>
              <w:ind w:left="14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FUNKCE</w:t>
              <w:tab/>
              <w:t xml:space="preserve">_______________</w:t>
            </w:r>
          </w:p>
          <w:p w:rsidR="00000000" w:rsidDel="00000000" w:rsidP="00000000" w:rsidRDefault="00000000" w:rsidRPr="00000000" w14:paraId="00000065">
            <w:pPr>
              <w:spacing w:line="360" w:lineRule="auto"/>
              <w:ind w:left="14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DATUM</w:t>
              <w:tab/>
              <w:t xml:space="preserve">_______________</w:t>
            </w:r>
          </w:p>
          <w:p w:rsidR="00000000" w:rsidDel="00000000" w:rsidP="00000000" w:rsidRDefault="00000000" w:rsidRPr="00000000" w14:paraId="00000066">
            <w:pPr>
              <w:widowControl w:val="0"/>
              <w:spacing w:line="360" w:lineRule="auto"/>
              <w:jc w:val="both"/>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7">
            <w:pPr>
              <w:widowControl w:val="0"/>
              <w:spacing w:line="360" w:lineRule="auto"/>
              <w:jc w:val="both"/>
              <w:rPr>
                <w:rFonts w:ascii="Arial" w:cs="Arial" w:eastAsia="Arial" w:hAnsi="Arial"/>
                <w:sz w:val="21"/>
                <w:szCs w:val="21"/>
                <w:highlight w:val="yellow"/>
              </w:rPr>
            </w:pPr>
            <w:r w:rsidDel="00000000" w:rsidR="00000000" w:rsidRPr="00000000">
              <w:rPr>
                <w:rtl w:val="0"/>
              </w:rPr>
            </w:r>
          </w:p>
        </w:tc>
      </w:tr>
    </w:tbl>
    <w:p w:rsidR="00000000" w:rsidDel="00000000" w:rsidP="00000000" w:rsidRDefault="00000000" w:rsidRPr="00000000" w14:paraId="00000068">
      <w:pPr>
        <w:rPr>
          <w:rFonts w:ascii="Arial" w:cs="Arial" w:eastAsia="Arial" w:hAnsi="Arial"/>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69">
      <w:pPr>
        <w:ind w:left="3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OBCHODNÍ PODMÍNKY SDRUŽENÍ PRO INTERNETOVÝ ROZVOJ V ČESKÉ </w:t>
      </w:r>
      <w:r w:rsidDel="00000000" w:rsidR="00000000" w:rsidRPr="00000000">
        <w:rPr>
          <w:rtl w:val="0"/>
        </w:rPr>
      </w:r>
    </w:p>
    <w:p w:rsidR="00000000" w:rsidDel="00000000" w:rsidP="00000000" w:rsidRDefault="00000000" w:rsidRPr="00000000" w14:paraId="0000006A">
      <w:pPr>
        <w:ind w:left="3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REPUBLICE, Z.S.P.O. PRO POSKYTOVÁNÍ VÝSLEDKŮ VÝZKUMU NETMONITOR </w:t>
      </w:r>
    </w:p>
    <w:p w:rsidR="00000000" w:rsidDel="00000000" w:rsidP="00000000" w:rsidRDefault="00000000" w:rsidRPr="00000000" w14:paraId="0000006B">
      <w:pPr>
        <w:ind w:left="3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PLATNÉ OD 1. 1. 2024 </w:t>
      </w:r>
      <w:r w:rsidDel="00000000" w:rsidR="00000000" w:rsidRPr="00000000">
        <w:rPr>
          <w:rtl w:val="0"/>
        </w:rPr>
      </w:r>
    </w:p>
    <w:p w:rsidR="00000000" w:rsidDel="00000000" w:rsidP="00000000" w:rsidRDefault="00000000" w:rsidRPr="00000000" w14:paraId="0000006C">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ÚVODNÍ USTANOVENÍ</w:t>
      </w:r>
    </w:p>
    <w:p w:rsidR="00000000" w:rsidDel="00000000" w:rsidP="00000000" w:rsidRDefault="00000000" w:rsidRPr="00000000" w14:paraId="0000006E">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Tyto obchodní podmínky (dále jen "Podmínky") doplňují smlouvu o poskytování výsledků výzkumu NetMonitor (dále jen "Smlouva") uzavřenou mezi Sdružením pro internetový rozvoj v ČR, z.s.p.o. IČ: 70108005, se sídlem Panská 854/2, 110 00 Praha 1 (dále jen "SPIR") a dalšími osobami (dále jen "Odběratel") a uplatní se na veškeré vztahy mezi SPIR a Odběratelem v souvislosti s poskytováním Výsledků Výzkumu, jak je definován níže. </w:t>
      </w:r>
    </w:p>
    <w:p w:rsidR="00000000" w:rsidDel="00000000" w:rsidP="00000000" w:rsidRDefault="00000000" w:rsidRPr="00000000" w14:paraId="0000006F">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Tyto Podmínky tvoří nedílnou součást Smlouvy či jiných ujednání mezi SPIR a Odběratelem. Pro případ, že bude Smlouva obsahovat odlišné ujednání, má ujednání Smlouvy přednost před zněním těchto Podmínek.</w:t>
      </w:r>
    </w:p>
    <w:p w:rsidR="00000000" w:rsidDel="00000000" w:rsidP="00000000" w:rsidRDefault="00000000" w:rsidRPr="00000000" w14:paraId="00000070">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POJMY A DEFINICE</w:t>
      </w:r>
    </w:p>
    <w:p w:rsidR="00000000" w:rsidDel="00000000" w:rsidP="00000000" w:rsidRDefault="00000000" w:rsidRPr="00000000" w14:paraId="00000071">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"Výzkum" je měření návštěvnosti internetu v České republice a výzkum sociodemografie návštěvníků internetu, tak jak je blíže popsáno a specifikováno v příloze č.1 těchto Obchodních podmínek – Metodice.  </w:t>
      </w:r>
    </w:p>
    <w:p w:rsidR="00000000" w:rsidDel="00000000" w:rsidP="00000000" w:rsidRDefault="00000000" w:rsidRPr="00000000" w14:paraId="00000072">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"Výsledky Výzkumu" jsou všechny výstupy Výzkumu definované v Metodice. </w:t>
      </w:r>
    </w:p>
    <w:p w:rsidR="00000000" w:rsidDel="00000000" w:rsidP="00000000" w:rsidRDefault="00000000" w:rsidRPr="00000000" w14:paraId="00000073">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"Realizátor Výzkumu" je společnost Gemius s.r.o., IČ 272 29 904, se sídlem Praha 10, Na Výsluní 201/13, PSČ 100 00, zapsaná v obchodním rejstříku vedeném Městským soudem v Praze, oddíl C., vložka 106163. </w:t>
      </w:r>
    </w:p>
    <w:p w:rsidR="00000000" w:rsidDel="00000000" w:rsidP="00000000" w:rsidRDefault="00000000" w:rsidRPr="00000000" w14:paraId="00000074">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"Metodika" je dokument, kterým se řídí Výzkum. Metodika tvoří přílohu č.1 těchto Podmínek a v aktuálně platné verzi je zveřejněna na webových stránkách </w:t>
      </w:r>
      <w:hyperlink r:id="rId11">
        <w:r w:rsidDel="00000000" w:rsidR="00000000" w:rsidRPr="00000000">
          <w:rPr>
            <w:rFonts w:ascii="Arial" w:cs="Arial" w:eastAsia="Arial" w:hAnsi="Arial"/>
            <w:color w:val="1155cc"/>
            <w:sz w:val="20"/>
            <w:szCs w:val="20"/>
            <w:u w:val="single"/>
            <w:rtl w:val="0"/>
          </w:rPr>
          <w:t xml:space="preserve">https://www.netmonitor.cz</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5">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"Etický kodex NetMonitoru" je dokument obsahující pravidla chování, která je třeba v rámci projektu NetMonitor dodržovat. Etický kodex Netmonitoru tvoří přílohu č.2 těchto Podmínek a v aktuálně platné verzi je zveřejněn na webových stránkách </w:t>
      </w:r>
      <w:hyperlink r:id="rId12">
        <w:r w:rsidDel="00000000" w:rsidR="00000000" w:rsidRPr="00000000">
          <w:rPr>
            <w:rFonts w:ascii="Arial" w:cs="Arial" w:eastAsia="Arial" w:hAnsi="Arial"/>
            <w:color w:val="1155cc"/>
            <w:sz w:val="20"/>
            <w:szCs w:val="20"/>
            <w:u w:val="single"/>
            <w:rtl w:val="0"/>
          </w:rPr>
          <w:t xml:space="preserve">https://www.netmonitor.cz</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6">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Pravidla pro užití dat projektů SPIR“ jsou dokument, který vymezuje podmínky, za kterých lze pracovat s datovými výstupy projektů SPIR tak, aby nenarušily obchodní zájmy vlastníka dat a zároveň umožnily Odběrateli je využít v maximální míře. Tento dokument tvoří přílohu č. 3 Podmínek a v aktuálně platné verzi je zveřejněn na webových stránkách </w:t>
      </w:r>
      <w:hyperlink r:id="rId13">
        <w:r w:rsidDel="00000000" w:rsidR="00000000" w:rsidRPr="00000000">
          <w:rPr>
            <w:rFonts w:ascii="Arial" w:cs="Arial" w:eastAsia="Arial" w:hAnsi="Arial"/>
            <w:color w:val="1155cc"/>
            <w:sz w:val="20"/>
            <w:szCs w:val="20"/>
            <w:u w:val="single"/>
            <w:rtl w:val="0"/>
          </w:rPr>
          <w:t xml:space="preserve">https://www.netmonitor.cz</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7">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TERMÍNY A MÍSTO PLNĚNÍ </w:t>
      </w:r>
    </w:p>
    <w:p w:rsidR="00000000" w:rsidDel="00000000" w:rsidP="00000000" w:rsidRDefault="00000000" w:rsidRPr="00000000" w14:paraId="00000078">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Výsledky Výzkumu budou Odběrateli předávány prostřednictvím rozhraní e.gemius.com dle specifikace uvedené v Metodice. </w:t>
      </w:r>
    </w:p>
    <w:p w:rsidR="00000000" w:rsidDel="00000000" w:rsidP="00000000" w:rsidRDefault="00000000" w:rsidRPr="00000000" w14:paraId="00000079">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PLATEBNÍ PODMÍNKY </w:t>
      </w:r>
    </w:p>
    <w:p w:rsidR="00000000" w:rsidDel="00000000" w:rsidP="00000000" w:rsidRDefault="00000000" w:rsidRPr="00000000" w14:paraId="0000007A">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Cenu za Výsledky Výzkumu dle čl. 3 Smlouvy bude Odběratel hradit v měsíčních intervalech, a to vždy na základě daňového dokladu vystaveného SPIR bezprostředně po dodání dat. Faktury jsou splatné do 14 dnů od vystavení dokladu. Dnem zdanitelného plnění se rozumí den předání Výsledků Výzkumu dle čl. 2.2</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těchto Podmínek. </w:t>
      </w:r>
    </w:p>
    <w:p w:rsidR="00000000" w:rsidDel="00000000" w:rsidP="00000000" w:rsidRDefault="00000000" w:rsidRPr="00000000" w14:paraId="0000007B">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Za uhrazení faktury je považováno připsání příslušné částky na účet SPIR č. 375 076 001/5500 vedený u Raiffeisenbank a.s. </w:t>
      </w:r>
    </w:p>
    <w:p w:rsidR="00000000" w:rsidDel="00000000" w:rsidP="00000000" w:rsidRDefault="00000000" w:rsidRPr="00000000" w14:paraId="0000007C">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prodlení Odběratele s úhradou ceny nebo její části je Odběratel povinen zaplatit 0,05 % úrok z prodlení z dlužné částky za každý (i započatý) den prodlení. </w:t>
      </w:r>
    </w:p>
    <w:p w:rsidR="00000000" w:rsidDel="00000000" w:rsidP="00000000" w:rsidRDefault="00000000" w:rsidRPr="00000000" w14:paraId="0000007D">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PRÁVA A POVINNOSTI ODBĚRATELE </w:t>
      </w:r>
    </w:p>
    <w:p w:rsidR="00000000" w:rsidDel="00000000" w:rsidP="00000000" w:rsidRDefault="00000000" w:rsidRPr="00000000" w14:paraId="0000007E">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že Výsledky Výzkumu naplňují znaky autorského díla dle § 2 zákona č. 121/2000 Sb., autorský zákon, ve znění pozdějších předpisů (dále jen </w:t>
      </w:r>
      <w:r w:rsidDel="00000000" w:rsidR="00000000" w:rsidRPr="00000000">
        <w:rPr>
          <w:rFonts w:ascii="Arial" w:cs="Arial" w:eastAsia="Arial" w:hAnsi="Arial"/>
          <w:b w:val="1"/>
          <w:sz w:val="20"/>
          <w:szCs w:val="20"/>
          <w:rtl w:val="0"/>
        </w:rPr>
        <w:t xml:space="preserve">"autorský zákon"</w:t>
      </w:r>
      <w:r w:rsidDel="00000000" w:rsidR="00000000" w:rsidRPr="00000000">
        <w:rPr>
          <w:rFonts w:ascii="Arial" w:cs="Arial" w:eastAsia="Arial" w:hAnsi="Arial"/>
          <w:sz w:val="20"/>
          <w:szCs w:val="20"/>
          <w:rtl w:val="0"/>
        </w:rPr>
        <w:t xml:space="preserve">) nebo části databáze dle § 88 autorského zákona, má Odběratel právo používat poskytnuté výsledky v souladu s touto smlouvou. </w:t>
      </w:r>
    </w:p>
    <w:p w:rsidR="00000000" w:rsidDel="00000000" w:rsidP="00000000" w:rsidRDefault="00000000" w:rsidRPr="00000000" w14:paraId="0000007F">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Odběratel má právo disponovat Výsledky Výzkumu v souladu s Pravidly pro užití dat projektů SPIR, které tvoří přílohu č.3 těchto Podmínek. </w:t>
      </w:r>
    </w:p>
    <w:p w:rsidR="00000000" w:rsidDel="00000000" w:rsidP="00000000" w:rsidRDefault="00000000" w:rsidRPr="00000000" w14:paraId="00000080">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Při zveřejňování údajů z Výsledků Výzkumu je Odběratel povinen uvést označení zdroje informace minimálně takto: "Zdroj: NetMonitor" a dále období, ke kterému se údaje vztahují. V případě zahraniční publikace pak „NetMonitor / gemiusAudience“ a zdrojové období. Odběratel spolu s označením zdroje tamtéž uvede následující upozornění: „Přejímání dat z projektu NetMonitor a jejich další šíření bez předchozího souhlasu SPIR je výslovně zakázáno.“ </w:t>
      </w:r>
    </w:p>
    <w:p w:rsidR="00000000" w:rsidDel="00000000" w:rsidP="00000000" w:rsidRDefault="00000000" w:rsidRPr="00000000" w14:paraId="00000081">
      <w:pPr>
        <w:ind w:left="792" w:firstLine="0"/>
        <w:rPr>
          <w:rFonts w:ascii="Arial" w:cs="Arial" w:eastAsia="Arial" w:hAnsi="Arial"/>
          <w:sz w:val="20"/>
          <w:szCs w:val="20"/>
          <w:shd w:fill="ff9900" w:val="clear"/>
        </w:rPr>
      </w:pPr>
      <w:r w:rsidDel="00000000" w:rsidR="00000000" w:rsidRPr="00000000">
        <w:rPr>
          <w:rtl w:val="0"/>
        </w:rPr>
      </w:r>
    </w:p>
    <w:p w:rsidR="00000000" w:rsidDel="00000000" w:rsidP="00000000" w:rsidRDefault="00000000" w:rsidRPr="00000000" w14:paraId="00000082">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PRÁVA A POVINNOSTI SPIR</w:t>
      </w:r>
    </w:p>
    <w:p w:rsidR="00000000" w:rsidDel="00000000" w:rsidP="00000000" w:rsidRDefault="00000000" w:rsidRPr="00000000" w14:paraId="00000083">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SPIR je povinen dodávat Odběrateli Výsledky Výzkumu v rozsahu a v termínu stanoveném Smlouvou. </w:t>
      </w:r>
    </w:p>
    <w:p w:rsidR="00000000" w:rsidDel="00000000" w:rsidP="00000000" w:rsidRDefault="00000000" w:rsidRPr="00000000" w14:paraId="00000084">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SPIR je povinen Odběrateli dodávat Výsledky Výzkumu prostřednictvím rozhraní e.gemius.com. Příslušný počet přístupů uvedený v čl. 2.1.1(b) Smlouvy zajistí SPIR na vlastní náklady před prvním dodáním Výsledků Výzkumu. </w:t>
      </w:r>
    </w:p>
    <w:p w:rsidR="00000000" w:rsidDel="00000000" w:rsidP="00000000" w:rsidRDefault="00000000" w:rsidRPr="00000000" w14:paraId="00000085">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SPIR je oprávněn pravidelně publikovat sumární zprávu o Výzkumu, tzv. veřejný výstup publikovaný na webových stránkách http://www.netmonitor.cz/verejnevystupy, a udržovat všeobecné povědomí odborné veřejnosti o Výzkumu. </w:t>
      </w:r>
    </w:p>
    <w:p w:rsidR="00000000" w:rsidDel="00000000" w:rsidP="00000000" w:rsidRDefault="00000000" w:rsidRPr="00000000" w14:paraId="00000086">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ZÁVAZEK MLČENLIVOSTI</w:t>
      </w:r>
    </w:p>
    <w:p w:rsidR="00000000" w:rsidDel="00000000" w:rsidP="00000000" w:rsidRDefault="00000000" w:rsidRPr="00000000" w14:paraId="00000087">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SPIR i Odběratel se zavazují, že veškeré informace a skutečnosti týkající se zejména plnění této Smlouvy nebo jakékoli její části, činnosti druhé smluvní strany, jejích klientů, dodavatelů, zaměstnanců, hospodářské situace, know-how, které se dozví nebo jejich pracovníci dozvědí při plnění předmětu Smlouvy nebo v její souvislosti, použijí výhradně jen pro případ plnění podle Smlouvy a zachovají o takových skutečnostech přísnou mlčenlivost a utajení. Tato povinnost platí i po skončení platnosti Smlouvy.  </w:t>
      </w:r>
    </w:p>
    <w:p w:rsidR="00000000" w:rsidDel="00000000" w:rsidP="00000000" w:rsidRDefault="00000000" w:rsidRPr="00000000" w14:paraId="00000088">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Obě smluvní strany se zavazují, že neumožní seznámit se s těmito skutečnostmi jakoukoli třetí osobu s výjimkou zákonných případů. Toto ustanovení se vztahuje na informace a skutečnosti, které nejsou veřejně známé nebo známé třetí straně.</w:t>
      </w:r>
    </w:p>
    <w:p w:rsidR="00000000" w:rsidDel="00000000" w:rsidP="00000000" w:rsidRDefault="00000000" w:rsidRPr="00000000" w14:paraId="00000089">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KONTAKTNÍ OSOBA SPIR</w:t>
      </w:r>
    </w:p>
    <w:p w:rsidR="00000000" w:rsidDel="00000000" w:rsidP="00000000" w:rsidRDefault="00000000" w:rsidRPr="00000000" w14:paraId="0000008A">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Kontaktními osobou SPIR je: </w:t>
      </w:r>
    </w:p>
    <w:p w:rsidR="00000000" w:rsidDel="00000000" w:rsidP="00000000" w:rsidRDefault="00000000" w:rsidRPr="00000000" w14:paraId="0000008B">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jméno: </w:t>
        <w:tab/>
        <w:t xml:space="preserve">Václav Krejcar </w:t>
      </w:r>
    </w:p>
    <w:p w:rsidR="00000000" w:rsidDel="00000000" w:rsidP="00000000" w:rsidRDefault="00000000" w:rsidRPr="00000000" w14:paraId="0000008C">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adresa: </w:t>
        <w:tab/>
        <w:t xml:space="preserve">SPIR, Panská 854/2, 110 00 Praha 1 </w:t>
      </w:r>
    </w:p>
    <w:p w:rsidR="00000000" w:rsidDel="00000000" w:rsidP="00000000" w:rsidRDefault="00000000" w:rsidRPr="00000000" w14:paraId="0000008D">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e-mail: </w:t>
        <w:tab/>
      </w:r>
      <w:r w:rsidDel="00000000" w:rsidR="00000000" w:rsidRPr="00000000">
        <w:rPr>
          <w:rFonts w:ascii="Arial" w:cs="Arial" w:eastAsia="Arial" w:hAnsi="Arial"/>
          <w:color w:val="1155cc"/>
          <w:sz w:val="20"/>
          <w:szCs w:val="20"/>
          <w:u w:val="single"/>
          <w:rtl w:val="0"/>
        </w:rPr>
        <w:t xml:space="preserve">vaclav</w:t>
      </w:r>
      <w:hyperlink r:id="rId14">
        <w:r w:rsidDel="00000000" w:rsidR="00000000" w:rsidRPr="00000000">
          <w:rPr>
            <w:rFonts w:ascii="Arial" w:cs="Arial" w:eastAsia="Arial" w:hAnsi="Arial"/>
            <w:color w:val="1155cc"/>
            <w:sz w:val="20"/>
            <w:szCs w:val="20"/>
            <w:u w:val="single"/>
            <w:rtl w:val="0"/>
          </w:rPr>
          <w:t xml:space="preserve">.krejcar@spir.cz</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E">
      <w:pPr>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tel.:  </w:t>
        <w:tab/>
        <w:t xml:space="preserve">777 151 482 (pracovní dny 9:00-17:00 hod.)</w:t>
      </w:r>
    </w:p>
    <w:p w:rsidR="00000000" w:rsidDel="00000000" w:rsidP="00000000" w:rsidRDefault="00000000" w:rsidRPr="00000000" w14:paraId="0000008F">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ODSTOUPENÍ OD SMLOUVY </w:t>
      </w:r>
    </w:p>
    <w:p w:rsidR="00000000" w:rsidDel="00000000" w:rsidP="00000000" w:rsidRDefault="00000000" w:rsidRPr="00000000" w14:paraId="00000090">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Každá ze smluvních stran je oprávněna odstoupit od Smlouvy v případě, že druhá smluvní strana podstatným způsobem poruší své povinnosti vyplývající ze Smlouvy.</w:t>
      </w:r>
    </w:p>
    <w:p w:rsidR="00000000" w:rsidDel="00000000" w:rsidP="00000000" w:rsidRDefault="00000000" w:rsidRPr="00000000" w14:paraId="00000091">
      <w:pPr>
        <w:numPr>
          <w:ilvl w:val="2"/>
          <w:numId w:val="4"/>
        </w:numPr>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Za podstatné porušení povinností SPIR se považuje:  </w:t>
      </w:r>
    </w:p>
    <w:p w:rsidR="00000000" w:rsidDel="00000000" w:rsidP="00000000" w:rsidRDefault="00000000" w:rsidRPr="00000000" w14:paraId="00000092">
      <w:pPr>
        <w:numPr>
          <w:ilvl w:val="0"/>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opakované porušení dohodnutých aspektů Výzkumu, jak je stanoveno v Metodice, kapitole 3 a 8. </w:t>
      </w:r>
    </w:p>
    <w:p w:rsidR="00000000" w:rsidDel="00000000" w:rsidP="00000000" w:rsidRDefault="00000000" w:rsidRPr="00000000" w14:paraId="00000093">
      <w:pPr>
        <w:numPr>
          <w:ilvl w:val="0"/>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opakované nedodržení termínů předání Výsledků Výzkumu, pokud každé zpoždění přesáhlo dva (2) týdny. </w:t>
      </w:r>
    </w:p>
    <w:p w:rsidR="00000000" w:rsidDel="00000000" w:rsidP="00000000" w:rsidRDefault="00000000" w:rsidRPr="00000000" w14:paraId="00000094">
      <w:pPr>
        <w:numPr>
          <w:ilvl w:val="0"/>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porušení povinnosti stanovené v čl. 7 těchto Podmínek. </w:t>
      </w:r>
    </w:p>
    <w:p w:rsidR="00000000" w:rsidDel="00000000" w:rsidP="00000000" w:rsidRDefault="00000000" w:rsidRPr="00000000" w14:paraId="00000095">
      <w:pPr>
        <w:numPr>
          <w:ilvl w:val="2"/>
          <w:numId w:val="4"/>
        </w:numPr>
        <w:ind w:left="1224" w:hanging="50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Za podstatné porušení povinností Odběratele se považuje: </w:t>
      </w:r>
    </w:p>
    <w:p w:rsidR="00000000" w:rsidDel="00000000" w:rsidP="00000000" w:rsidRDefault="00000000" w:rsidRPr="00000000" w14:paraId="00000096">
      <w:pPr>
        <w:numPr>
          <w:ilvl w:val="0"/>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prodlení s úhradou tří a více splatných faktur za Výzkum přes písemné upozornění ze strany SPIR, a/nebo </w:t>
      </w:r>
    </w:p>
    <w:p w:rsidR="00000000" w:rsidDel="00000000" w:rsidP="00000000" w:rsidRDefault="00000000" w:rsidRPr="00000000" w14:paraId="00000097">
      <w:pPr>
        <w:numPr>
          <w:ilvl w:val="0"/>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porušení povinnosti stanovené v čl. 5.5 nebo čl. 7 těchto Podmínek. </w:t>
      </w:r>
    </w:p>
    <w:p w:rsidR="00000000" w:rsidDel="00000000" w:rsidP="00000000" w:rsidRDefault="00000000" w:rsidRPr="00000000" w14:paraId="00000098">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Odstoupení je účinné okamžikem doručení oznámení o odstoupení druhé smluvní straně. Odstoupením od smlouvy zanikají všechna práva a povinnosti z této smlouvy s účinky ke dni oznámení odstoupení druhé smluvní straně </w:t>
      </w:r>
    </w:p>
    <w:p w:rsidR="00000000" w:rsidDel="00000000" w:rsidP="00000000" w:rsidRDefault="00000000" w:rsidRPr="00000000" w14:paraId="00000099">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Ukončením Smlouvy (bez ohledu na způsob) není dotčen nárok na cenu za Výsledky Výzkumu, náhradu újmy (ať už majetkové či nemajetkové), také není dotčena povinnost mlčenlivosti dle čl. 7 těchto Podmínek a závazky Odběratele dle článku 5 těchto Podmínek. </w:t>
      </w:r>
    </w:p>
    <w:p w:rsidR="00000000" w:rsidDel="00000000" w:rsidP="00000000" w:rsidRDefault="00000000" w:rsidRPr="00000000" w14:paraId="0000009A">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Smluvní strany se výslovně dohodly, že změna okolností anebo nemožnost plnění na straně jedné z nich není důvodem k ukončení smlouvy. </w:t>
      </w:r>
    </w:p>
    <w:p w:rsidR="00000000" w:rsidDel="00000000" w:rsidP="00000000" w:rsidRDefault="00000000" w:rsidRPr="00000000" w14:paraId="0000009B">
      <w:pPr>
        <w:numPr>
          <w:ilvl w:val="0"/>
          <w:numId w:val="4"/>
        </w:numPr>
        <w:spacing w:after="218" w:before="218" w:lineRule="auto"/>
        <w:ind w:left="357"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ZÁVĚREČNÁ USTANOVENÍ</w:t>
      </w:r>
    </w:p>
    <w:p w:rsidR="00000000" w:rsidDel="00000000" w:rsidP="00000000" w:rsidRDefault="00000000" w:rsidRPr="00000000" w14:paraId="0000009C">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Ukončení platnosti těchto Podmínek a nahrazení novými Podmínkami nebude mít žádný vliv na veškerá zákonná práva, která Odběrateli nebo SPIR náleží, na povinnosti a závazky, které mají obě strany, resp. které oběma stranám vzniknou za dobu platnosti těchto Podmínek, ani na práva, povinnosti a závazky, u nichž je výslovně uvedeno, že platí bez časového omezení. </w:t>
      </w:r>
    </w:p>
    <w:p w:rsidR="00000000" w:rsidDel="00000000" w:rsidP="00000000" w:rsidRDefault="00000000" w:rsidRPr="00000000" w14:paraId="0000009D">
      <w:pPr>
        <w:numPr>
          <w:ilvl w:val="1"/>
          <w:numId w:val="4"/>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Podmínky uvedené v tomto dokumentu jsou platné a účinné od 1. ledna 2024. </w:t>
      </w:r>
    </w:p>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Na důkaz toho, že se Odběratel seznámil s obsahem těchto Podmínek a že si přeje převzít a povinnosti a závazky z nich vyplývající, připojuje níže svůj podpis. </w:t>
      </w:r>
    </w:p>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JMÉNO _______________ </w:t>
      </w:r>
    </w:p>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FUNKCE _______________ </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DATUM _______________ </w:t>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B">
      <w:pPr>
        <w:rPr>
          <w:rFonts w:ascii="Arial" w:cs="Arial" w:eastAsia="Arial" w:hAnsi="Arial"/>
          <w:sz w:val="21"/>
          <w:szCs w:val="21"/>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153"/>
        <w:tab w:val="right" w:leader="none" w:pos="8306"/>
      </w:tabs>
      <w:spacing w:line="264" w:lineRule="auto"/>
      <w:jc w:val="right"/>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153"/>
        <w:tab w:val="right" w:leader="none" w:pos="8306"/>
      </w:tabs>
      <w:spacing w:line="264" w:lineRule="auto"/>
      <w:jc w:val="right"/>
      <w:rPr>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153"/>
        <w:tab w:val="right" w:leader="none" w:pos="8306"/>
      </w:tabs>
      <w:spacing w:line="264" w:lineRule="auto"/>
      <w:jc w:val="right"/>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153"/>
        <w:tab w:val="right" w:leader="none" w:pos="8306"/>
      </w:tabs>
      <w:spacing w:line="264" w:lineRule="auto"/>
      <w:rPr>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153"/>
        <w:tab w:val="right" w:leader="none" w:pos="8306"/>
      </w:tabs>
      <w:spacing w:line="264" w:lineRule="auto"/>
      <w:rPr>
        <w:color w:val="000000"/>
        <w:sz w:val="18"/>
        <w:szCs w:val="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153"/>
        <w:tab w:val="right" w:leader="none" w:pos="8306"/>
      </w:tabs>
      <w:spacing w:line="264" w:lineRule="auto"/>
      <w:rPr>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720"/>
      </w:pPr>
      <w:rPr>
        <w:b w:val="0"/>
        <w:i w:val="0"/>
      </w:rPr>
    </w:lvl>
    <w:lvl w:ilvl="1">
      <w:start w:val="1"/>
      <w:numFmt w:val="decimal"/>
      <w:lvlText w:val="%1.%2"/>
      <w:lvlJc w:val="left"/>
      <w:pPr>
        <w:ind w:left="720" w:hanging="720"/>
      </w:pPr>
      <w:rPr>
        <w:b w:val="0"/>
        <w:i w:val="0"/>
      </w:rPr>
    </w:lvl>
    <w:lvl w:ilvl="2">
      <w:start w:val="1"/>
      <w:numFmt w:val="decimal"/>
      <w:lvlText w:val="%1.%2.%3"/>
      <w:lvlJc w:val="left"/>
      <w:pPr>
        <w:ind w:left="1622" w:hanging="902.0000000000002"/>
      </w:pPr>
      <w:rPr>
        <w:b w:val="0"/>
        <w:i w:val="0"/>
      </w:rPr>
    </w:lvl>
    <w:lvl w:ilvl="3">
      <w:start w:val="1"/>
      <w:numFmt w:val="decimal"/>
      <w:lvlText w:val="%1.%2.%3.%4"/>
      <w:lvlJc w:val="left"/>
      <w:pPr>
        <w:ind w:left="2699" w:hanging="1077"/>
      </w:pPr>
      <w:rPr>
        <w:b w:val="0"/>
        <w:i w:val="0"/>
      </w:rPr>
    </w:lvl>
    <w:lvl w:ilvl="4">
      <w:start w:val="1"/>
      <w:numFmt w:val="lowerLetter"/>
      <w:lvlText w:val="(%5)"/>
      <w:lvlJc w:val="left"/>
      <w:pPr>
        <w:ind w:left="2699" w:hanging="1077"/>
      </w:pPr>
      <w:rPr>
        <w:b w:val="0"/>
        <w:i w:val="0"/>
      </w:rPr>
    </w:lvl>
    <w:lvl w:ilvl="5">
      <w:start w:val="1"/>
      <w:numFmt w:val="lowerRoman"/>
      <w:lvlText w:val="(%6)"/>
      <w:lvlJc w:val="left"/>
      <w:pPr>
        <w:ind w:left="3238" w:hanging="538"/>
      </w:pPr>
      <w:rPr>
        <w:b w:val="0"/>
        <w:i w:val="0"/>
      </w:rPr>
    </w:lvl>
    <w:lvl w:ilvl="6">
      <w:start w:val="1"/>
      <w:numFmt w:val="upperLetter"/>
      <w:lvlText w:val="(%7)"/>
      <w:lvlJc w:val="left"/>
      <w:pPr>
        <w:ind w:left="3907" w:hanging="675"/>
      </w:pPr>
      <w:rPr>
        <w:b w:val="0"/>
        <w:i w:val="0"/>
      </w:rPr>
    </w:lvl>
    <w:lvl w:ilvl="7">
      <w:start w:val="1"/>
      <w:numFmt w:val="upperRoman"/>
      <w:lvlText w:val="(%8)"/>
      <w:lvlJc w:val="left"/>
      <w:pPr>
        <w:ind w:left="4581" w:hanging="673"/>
      </w:pPr>
      <w:rPr>
        <w:b w:val="0"/>
        <w:i w:val="0"/>
      </w:rPr>
    </w:lvl>
    <w:lvl w:ilvl="8">
      <w:start w:val="1"/>
      <w:numFmt w:val="upperRoman"/>
      <w:lvlText w:val="(%9)"/>
      <w:lvlJc w:val="left"/>
      <w:pPr>
        <w:ind w:left="6838" w:hanging="720"/>
      </w:pPr>
      <w:rPr>
        <w:b w:val="0"/>
        <w:i w:val="0"/>
      </w:rPr>
    </w:lvl>
  </w:abstractNum>
  <w:abstractNum w:abstractNumId="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5">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c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4" w:customStyle="1">
    <w:name w:val="4"/>
    <w:basedOn w:val="TableNormal10"/>
    <w:tblPr>
      <w:tblStyleRowBandSize w:val="1"/>
      <w:tblStyleColBandSize w:val="1"/>
      <w:tblCellMar>
        <w:left w:w="115.0" w:type="dxa"/>
        <w:right w:w="115.0" w:type="dxa"/>
      </w:tblCellMar>
    </w:tblPr>
  </w:style>
  <w:style w:type="table" w:styleId="3" w:customStyle="1">
    <w:name w:val="3"/>
    <w:basedOn w:val="TableNormal10"/>
    <w:tblPr>
      <w:tblStyleRowBandSize w:val="1"/>
      <w:tblStyleColBandSize w:val="1"/>
      <w:tblCellMar>
        <w:left w:w="115.0" w:type="dxa"/>
        <w:right w:w="115.0" w:type="dxa"/>
      </w:tblCellMar>
    </w:tblPr>
  </w:style>
  <w:style w:type="table" w:styleId="2" w:customStyle="1">
    <w:name w:val="2"/>
    <w:basedOn w:val="TableNormal10"/>
    <w:tblPr>
      <w:tblStyleRowBandSize w:val="1"/>
      <w:tblStyleColBandSize w:val="1"/>
      <w:tblCellMar>
        <w:left w:w="115.0" w:type="dxa"/>
        <w:right w:w="115.0" w:type="dxa"/>
      </w:tblCellMar>
    </w:tblPr>
  </w:style>
  <w:style w:type="table" w:styleId="1" w:customStyle="1">
    <w:name w:val="1"/>
    <w:basedOn w:val="TableNormal10"/>
    <w:tblPr>
      <w:tblStyleRowBandSize w:val="1"/>
      <w:tblStyleColBandSize w:val="1"/>
      <w:tblCellMar>
        <w:left w:w="115.0" w:type="dxa"/>
        <w:right w:w="115.0" w:type="dxa"/>
      </w:tblCellMar>
    </w:tblPr>
  </w:style>
  <w:style w:type="paragraph" w:styleId="Textkomente">
    <w:name w:val="annotation text"/>
    <w:basedOn w:val="Normln"/>
    <w:link w:val="TextkomenteChar"/>
    <w:uiPriority w:val="99"/>
    <w:unhideWhenUsed w:val="1"/>
    <w:rPr>
      <w:sz w:val="20"/>
      <w:szCs w:val="20"/>
    </w:rPr>
  </w:style>
  <w:style w:type="character" w:styleId="TextkomenteChar" w:customStyle="1">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val="1"/>
    <w:unhideWhenUsed w:val="1"/>
    <w:rPr>
      <w:sz w:val="16"/>
      <w:szCs w:val="16"/>
    </w:rPr>
  </w:style>
  <w:style w:type="paragraph" w:styleId="Zkladntext">
    <w:name w:val="Body Text"/>
    <w:aliases w:val="B&amp;B Body Text"/>
    <w:link w:val="ZkladntextChar"/>
    <w:pPr>
      <w:spacing w:after="240"/>
      <w:jc w:val="both"/>
    </w:pPr>
    <w:rPr>
      <w:rFonts w:cs="Times New Roman" w:eastAsia="Times New Roman"/>
      <w:szCs w:val="20"/>
      <w:lang w:eastAsia="en-GB" w:val="en-GB"/>
    </w:rPr>
  </w:style>
  <w:style w:type="character" w:styleId="ZkladntextChar" w:customStyle="1">
    <w:name w:val="Základní text Char"/>
    <w:aliases w:val="B&amp;B Body Text Char"/>
    <w:basedOn w:val="Standardnpsmoodstavce"/>
    <w:link w:val="Zkladntext"/>
    <w:rPr>
      <w:rFonts w:cs="Times New Roman" w:eastAsia="Times New Roman"/>
      <w:szCs w:val="20"/>
      <w:lang w:eastAsia="en-GB" w:val="en-GB"/>
    </w:rPr>
  </w:style>
  <w:style w:type="paragraph" w:styleId="BBHeading1" w:customStyle="1">
    <w:name w:val="B&amp;B Heading 1"/>
    <w:basedOn w:val="Zkladntext"/>
    <w:next w:val="Normln"/>
    <w:pPr>
      <w:keepNext w:val="1"/>
      <w:numPr>
        <w:numId w:val="3"/>
      </w:numPr>
      <w:spacing w:before="120"/>
      <w:outlineLvl w:val="0"/>
    </w:pPr>
    <w:rPr>
      <w:b w:val="1"/>
      <w:caps w:val="1"/>
      <w:szCs w:val="24"/>
    </w:rPr>
  </w:style>
  <w:style w:type="paragraph" w:styleId="BBClause2" w:customStyle="1">
    <w:name w:val="B&amp;B Clause 2"/>
    <w:basedOn w:val="BBHeading2"/>
    <w:pPr>
      <w:keepNext w:val="0"/>
    </w:pPr>
    <w:rPr>
      <w:b w:val="0"/>
    </w:rPr>
  </w:style>
  <w:style w:type="paragraph" w:styleId="BBHeading6" w:customStyle="1">
    <w:name w:val="B&amp;B Heading 6"/>
    <w:basedOn w:val="BBHeading5"/>
    <w:next w:val="Normln"/>
    <w:pPr>
      <w:numPr>
        <w:ilvl w:val="5"/>
      </w:numPr>
      <w:tabs>
        <w:tab w:val="num" w:pos="1440"/>
        <w:tab w:val="left" w:pos="3238"/>
      </w:tabs>
      <w:ind w:left="1440" w:hanging="720"/>
      <w:outlineLvl w:val="5"/>
    </w:pPr>
  </w:style>
  <w:style w:type="paragraph" w:styleId="BBHeading5" w:customStyle="1">
    <w:name w:val="B&amp;B Heading 5"/>
    <w:basedOn w:val="BBHeading4"/>
    <w:next w:val="Normln"/>
    <w:pPr>
      <w:numPr>
        <w:ilvl w:val="4"/>
      </w:numPr>
      <w:tabs>
        <w:tab w:val="num" w:pos="1440"/>
      </w:tabs>
      <w:ind w:left="1440" w:hanging="720"/>
      <w:outlineLvl w:val="4"/>
    </w:pPr>
  </w:style>
  <w:style w:type="paragraph" w:styleId="BBHeading4" w:customStyle="1">
    <w:name w:val="B&amp;B Heading 4"/>
    <w:basedOn w:val="BBHeading3"/>
    <w:next w:val="Normln"/>
    <w:pPr>
      <w:numPr>
        <w:ilvl w:val="3"/>
      </w:numPr>
      <w:tabs>
        <w:tab w:val="num" w:pos="1440"/>
      </w:tabs>
      <w:ind w:left="1440" w:hanging="720"/>
      <w:outlineLvl w:val="3"/>
    </w:pPr>
  </w:style>
  <w:style w:type="paragraph" w:styleId="BBHeading3" w:customStyle="1">
    <w:name w:val="B&amp;B Heading 3"/>
    <w:basedOn w:val="BBHeading2"/>
    <w:next w:val="Normln"/>
    <w:pPr>
      <w:numPr>
        <w:ilvl w:val="2"/>
      </w:numPr>
      <w:tabs>
        <w:tab w:val="num" w:pos="1440"/>
      </w:tabs>
      <w:ind w:left="1440" w:hanging="720"/>
      <w:outlineLvl w:val="2"/>
    </w:pPr>
  </w:style>
  <w:style w:type="paragraph" w:styleId="BBHeading2" w:customStyle="1">
    <w:name w:val="B&amp;B Heading 2"/>
    <w:basedOn w:val="BBHeading1"/>
    <w:next w:val="Normln"/>
    <w:pPr>
      <w:numPr>
        <w:numId w:val="0"/>
      </w:numPr>
      <w:tabs>
        <w:tab w:val="num" w:pos="1440"/>
      </w:tabs>
      <w:spacing w:before="0"/>
      <w:ind w:left="1440" w:hanging="720"/>
      <w:outlineLvl w:val="1"/>
    </w:pPr>
    <w:rPr>
      <w:caps w:val="0"/>
    </w:rPr>
  </w:style>
  <w:style w:type="paragraph" w:styleId="BBHeading7" w:customStyle="1">
    <w:name w:val="B&amp;B Heading 7"/>
    <w:basedOn w:val="BBHeading6"/>
    <w:next w:val="Normln"/>
    <w:pPr>
      <w:numPr>
        <w:ilvl w:val="6"/>
      </w:numPr>
      <w:tabs>
        <w:tab w:val="num" w:pos="1440"/>
        <w:tab w:val="left" w:pos="5398"/>
      </w:tabs>
      <w:ind w:left="1440" w:hanging="720"/>
      <w:outlineLvl w:val="6"/>
    </w:pPr>
  </w:style>
  <w:style w:type="paragraph" w:styleId="BBHeading8" w:customStyle="1">
    <w:name w:val="B&amp;B Heading 8"/>
    <w:basedOn w:val="BBHeading7"/>
    <w:next w:val="Normln"/>
    <w:pPr>
      <w:numPr>
        <w:ilvl w:val="7"/>
      </w:numPr>
      <w:tabs>
        <w:tab w:val="clear" w:pos="3238"/>
        <w:tab w:val="clear" w:pos="5398"/>
        <w:tab w:val="num" w:pos="1440"/>
        <w:tab w:val="left" w:pos="3907"/>
      </w:tabs>
      <w:ind w:left="1440" w:hanging="720"/>
      <w:outlineLvl w:val="7"/>
    </w:pPr>
  </w:style>
  <w:style w:type="paragraph" w:styleId="BBHeading9" w:customStyle="1">
    <w:name w:val="B&amp;B Heading 9"/>
    <w:basedOn w:val="BBHeading8"/>
    <w:next w:val="Normln"/>
    <w:pPr>
      <w:numPr>
        <w:ilvl w:val="8"/>
      </w:numPr>
      <w:tabs>
        <w:tab w:val="num" w:pos="1440"/>
        <w:tab w:val="left" w:pos="6838"/>
      </w:tabs>
      <w:ind w:left="1440" w:hanging="720"/>
      <w:outlineLvl w:val="8"/>
    </w:pPr>
  </w:style>
  <w:style w:type="paragraph" w:styleId="Titulek">
    <w:name w:val="caption"/>
    <w:basedOn w:val="Normln"/>
    <w:next w:val="Normln"/>
    <w:qFormat w:val="1"/>
    <w:rPr>
      <w:rFonts w:cs="Times New Roman" w:eastAsia="Times New Roman"/>
      <w:b w:val="1"/>
      <w:bCs w:val="1"/>
      <w:sz w:val="20"/>
      <w:szCs w:val="20"/>
      <w:lang w:eastAsia="en-GB" w:val="en-GB"/>
    </w:rPr>
  </w:style>
  <w:style w:type="paragraph" w:styleId="Pedmtkomente">
    <w:name w:val="annotation subject"/>
    <w:basedOn w:val="Textkomente"/>
    <w:next w:val="Textkomente"/>
    <w:link w:val="PedmtkomenteChar"/>
    <w:uiPriority w:val="99"/>
    <w:semiHidden w:val="1"/>
    <w:unhideWhenUsed w:val="1"/>
    <w:rsid w:val="00195F7B"/>
    <w:rPr>
      <w:b w:val="1"/>
      <w:bCs w:val="1"/>
    </w:rPr>
  </w:style>
  <w:style w:type="character" w:styleId="PedmtkomenteChar" w:customStyle="1">
    <w:name w:val="Předmět komentáře Char"/>
    <w:basedOn w:val="TextkomenteChar"/>
    <w:link w:val="Pedmtkomente"/>
    <w:uiPriority w:val="99"/>
    <w:semiHidden w:val="1"/>
    <w:rsid w:val="00195F7B"/>
    <w:rPr>
      <w:b w:val="1"/>
      <w:bCs w:val="1"/>
      <w:sz w:val="20"/>
      <w:szCs w:val="20"/>
    </w:rPr>
  </w:style>
  <w:style w:type="paragraph" w:styleId="Revize">
    <w:name w:val="Revision"/>
    <w:hidden w:val="1"/>
    <w:uiPriority w:val="99"/>
    <w:semiHidden w:val="1"/>
    <w:rsid w:val="00DE0DD3"/>
  </w:style>
  <w:style w:type="character" w:styleId="Hypertextovodkaz">
    <w:name w:val="Hyperlink"/>
    <w:basedOn w:val="Standardnpsmoodstavce"/>
    <w:uiPriority w:val="99"/>
    <w:unhideWhenUsed w:val="1"/>
    <w:rsid w:val="006F0045"/>
    <w:rPr>
      <w:color w:val="0000ff" w:themeColor="hyperlink"/>
      <w:u w:val="single"/>
    </w:rPr>
  </w:style>
  <w:style w:type="character" w:styleId="Nevyeenzmnka">
    <w:name w:val="Unresolved Mention"/>
    <w:basedOn w:val="Standardnpsmoodstavce"/>
    <w:uiPriority w:val="99"/>
    <w:semiHidden w:val="1"/>
    <w:unhideWhenUsed w:val="1"/>
    <w:rsid w:val="006F0045"/>
    <w:rPr>
      <w:color w:val="605e5c"/>
      <w:shd w:color="auto" w:fill="e1dfdd" w:val="clear"/>
    </w:rPr>
  </w:style>
  <w:style w:type="table" w:styleId="a" w:customStyle="1">
    <w:basedOn w:val="TableNormal1"/>
    <w:tblPr>
      <w:tblStyleRowBandSize w:val="1"/>
      <w:tblStyleColBandSize w:val="1"/>
      <w:tblCellMar>
        <w:left w:w="115.0" w:type="dxa"/>
        <w:right w:w="115.0" w:type="dxa"/>
      </w:tblCellMar>
    </w:tblPr>
  </w:style>
  <w:style w:type="paragraph" w:styleId="BBClause5" w:customStyle="1">
    <w:name w:val="B&amp;B Clause 5"/>
    <w:basedOn w:val="BBHeading5"/>
    <w:pPr>
      <w:keepNext w:val="0"/>
      <w:numPr>
        <w:numId w:val="3"/>
      </w:numPr>
      <w:tabs>
        <w:tab w:val="clear" w:pos="3600"/>
        <w:tab w:val="num" w:pos="2699"/>
      </w:tabs>
      <w:ind w:left="2699" w:hanging="1077"/>
    </w:pPr>
    <w:rPr>
      <w:b w:val="0"/>
    </w:rPr>
  </w:style>
  <w:style w:type="paragraph" w:styleId="BBClause3" w:customStyle="1">
    <w:name w:val="B&amp;B Clause 3"/>
    <w:basedOn w:val="BBHeading3"/>
    <w:pPr>
      <w:keepNext w:val="0"/>
      <w:numPr>
        <w:numId w:val="3"/>
      </w:numPr>
      <w:tabs>
        <w:tab w:val="clear" w:pos="2160"/>
        <w:tab w:val="num" w:pos="1622"/>
      </w:tabs>
      <w:ind w:left="1622" w:hanging="902"/>
    </w:pPr>
    <w:rPr>
      <w:b w:val="0"/>
    </w:rPr>
  </w:style>
  <w:style w:type="table" w:styleId="a0" w:customStyle="1">
    <w:basedOn w:val="TableNormal0"/>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netmonitor.cz" TargetMode="External"/><Relationship Id="rId10" Type="http://schemas.openxmlformats.org/officeDocument/2006/relationships/hyperlink" Target="http://www.netmonitor.cz" TargetMode="External"/><Relationship Id="rId13" Type="http://schemas.openxmlformats.org/officeDocument/2006/relationships/hyperlink" Target="https://www.netmonitor.cz" TargetMode="External"/><Relationship Id="rId12" Type="http://schemas.openxmlformats.org/officeDocument/2006/relationships/hyperlink" Target="https://www.netmonitor.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etmonitor.cz" TargetMode="External"/><Relationship Id="rId15" Type="http://schemas.openxmlformats.org/officeDocument/2006/relationships/header" Target="header1.xml"/><Relationship Id="rId14" Type="http://schemas.openxmlformats.org/officeDocument/2006/relationships/hyperlink" Target="mailto:tereza.tumova@spir.cz"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www.netmonitor.cz" TargetMode="External"/><Relationship Id="rId8" Type="http://schemas.openxmlformats.org/officeDocument/2006/relationships/hyperlink" Target="http://www.netmoni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RwgGfJDKu9XKKP5ut+eI9OcBw==">CgMxLjAyCGguejMzN3lhMghoLmdqZGd4czIJaC4zajJxcW0zMgloLjF5ODEwdHcyCWguMWZvYjl0ZTIJaC4zem55c2g3MgloLjJldDkycDAyCGgudHlqY3d0MgloLjNkeTZ2a20yCWguMXQzaDVzZjIJaC40ZDM0b2c4MgloLjJzOGV5bzEyCWguMTdkcDh2dTIJaC4yNmluMXJnMgloLjRpN29qaHAyCGgubG54Yno5Mg5oLnc0amJla2NvcWs3cDIJaC4zNW5rdW4yMgloLjJ4Y3l0cGkyCWguMWtzdjR1djIJaC40NHNpbmlvMgloLjJqeHN4cWgyCWguM283YWxuazIJaC4xNDduMnpyOABqJwoUc3VnZ2VzdC4xa3UwcWNtczZzOGYSD1bDoWNsYXYgS3JlamNhcnIhMUhtUnB2cXdOSDRXRk1RSWkzdzFvaDBUNlNvY1A0Q2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2024-05-30T09:17:00Z</dcterms:created>
  <dc:creator>David Ptáček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CustDocSaved">
    <vt:lpwstr>True</vt:lpwstr>
  </property>
  <property fmtid="{D5CDD505-2E9C-101B-9397-08002B2CF9AE}" pid="3" name="bbFooterStyle">
    <vt:lpwstr>LONG</vt:lpwstr>
  </property>
  <property fmtid="{D5CDD505-2E9C-101B-9397-08002B2CF9AE}" pid="4" name="BBDocRef">
    <vt:lpwstr>BBDocRef</vt:lpwstr>
  </property>
  <property fmtid="{D5CDD505-2E9C-101B-9397-08002B2CF9AE}" pid="5" name="bbDisableAutoFooter">
    <vt:lpwstr>bbDisableAutoFooter</vt:lpwstr>
  </property>
</Properties>
</file>